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737360" cy="459641"/>
            <wp:docPr id="1" name="Picture 1"/>
            <wp:cNvGraphicFramePr>
              <a:graphicFrameLocks noChangeAspect="1"/>
            </wp:cNvGraphicFramePr>
            <a:graphic>
              <a:graphicData uri="http://schemas.openxmlformats.org/drawingml/2006/picture">
                <pic:pic>
                  <pic:nvPicPr>
                    <pic:cNvPr id="0" name="mvf-logo.png"/>
                    <pic:cNvPicPr/>
                  </pic:nvPicPr>
                  <pic:blipFill>
                    <a:blip r:embed="rId9"/>
                    <a:stretch>
                      <a:fillRect/>
                    </a:stretch>
                  </pic:blipFill>
                  <pic:spPr>
                    <a:xfrm>
                      <a:off x="0" y="0"/>
                      <a:ext cx="1737360" cy="459641"/>
                    </a:xfrm>
                    <a:prstGeom prst="rect"/>
                  </pic:spPr>
                </pic:pic>
              </a:graphicData>
            </a:graphic>
          </wp:inline>
        </w:drawing>
      </w:r>
    </w:p>
    <w:p>
      <w:r>
        <w:rPr>
          <w:color w:val="0051A1"/>
          <w:sz w:val="19"/>
        </w:rPr>
        <w:t>Ein Service des Knowledge-Hubs von Monitor Versorgungsforschung. Täglich automatisiert KI-kuratiert aus PubMed und auf Deutsch übersetzt.</w:t>
      </w:r>
    </w:p>
    <w:p>
      <w:pPr>
        <w:pStyle w:val="Title"/>
      </w:pPr>
      <w:r>
        <w:t>Studienarchiv - Versorgungsforschung</w:t>
      </w:r>
    </w:p>
    <w:p>
      <w:r>
        <w:rPr>
          <w:i/>
          <w:color w:val="666666"/>
          <w:sz w:val="18"/>
        </w:rPr>
        <w:t>Stand: 01.11.2026  |  473 Studien  |  wissen.m-vf.de</w:t>
      </w:r>
    </w:p>
    <w:p>
      <w:pPr>
        <w:pStyle w:val="Heading1"/>
      </w:pPr>
      <w:r>
        <w:t>Aufgenommen am 01.11.2026</w:t>
      </w:r>
    </w:p>
    <w:p>
      <w:pPr>
        <w:pStyle w:val="Heading2"/>
      </w:pPr>
      <w:r>
        <w:t>Geschlechtssensible Kardiologie: Implementierungslücke zwischen Haltung und Praxis</w:t>
      </w:r>
    </w:p>
    <w:p>
      <w:r>
        <w:rPr>
          <w:i/>
          <w:color w:val="666666"/>
          <w:sz w:val="18"/>
        </w:rPr>
        <w:t>Sgraja S et al.  ·  Front Glob Womens Health  ·  16.10.2026  ·  PMID 42964155</w:t>
      </w:r>
    </w:p>
    <w:p>
      <w:r>
        <w:t>Mixed-Methods-Studie zum Vergleich von Geschlechtssensibilität und wahrgenommener Umsetzung bei Ärzten und Pflegekräften sowie Patientenperspektiven in deutschen Kardiologiestationen.</w:t>
      </w:r>
    </w:p>
    <w:p>
      <w:r>
        <w:rPr>
          <w:b/>
        </w:rPr>
        <w:t xml:space="preserve">Ergebnis: </w:t>
      </w:r>
      <w:r>
        <w:t>Ärzte: Geschlechtssensibilität M=3,95 (SD=0,73), wahrgenommene Umsetzung M=2,45 (SD=0,59). Pflegekräfte: Sensibilität M=3,46, Umsetzung M=2,91. Patienten: M=3,04. Höhere Sensibilität führte nicht zu besserer Umsetzung. Strukturelle Barrieren, nicht mangelnde Awareness, waren Hauptprobleme.</w:t>
      </w:r>
    </w:p>
    <w:p>
      <w:r>
        <w:rPr>
          <w:b/>
          <w:sz w:val="19"/>
        </w:rPr>
        <w:t xml:space="preserve">Übertragbarkeit: </w:t>
      </w:r>
      <w:r>
        <w:rPr>
          <w:sz w:val="19"/>
        </w:rPr>
        <w:t>Deutschland, deutsche Routinedaten aus Krankenhäusern</w:t>
      </w:r>
    </w:p>
    <w:p>
      <w:r>
        <w:rPr>
          <w:color w:val="5A7D3A"/>
          <w:sz w:val="18"/>
        </w:rPr>
        <w:t>https://pubmed.ncbi.nlm.nih.gov/42964155/</w:t>
      </w:r>
    </w:p>
    <w:p>
      <w:pPr>
        <w:pStyle w:val="Heading2"/>
      </w:pPr>
      <w:r>
        <w:t>Organisatorische Bereitschaft für digitales Adipositas-Präventionsprogramm in Schweden</w:t>
      </w:r>
    </w:p>
    <w:p>
      <w:r>
        <w:rPr>
          <w:i/>
          <w:color w:val="666666"/>
          <w:sz w:val="18"/>
        </w:rPr>
        <w:t>Fagerström M et al.  ·  BMC Health Serv Res  ·  29.10.2026  ·  PMID 42963759</w:t>
      </w:r>
    </w:p>
    <w:p>
      <w:r>
        <w:t>Studie untersuchte, inwieweit Dimensionen organisatorischer Bereitschaft mit der Adoptioneines digitalen Gesundheitsprogramms (MINISTOP) in der schwedischen Kindergesundheitspflege assoziiert sind.</w:t>
      </w:r>
    </w:p>
    <w:p>
      <w:r>
        <w:rPr>
          <w:b/>
        </w:rPr>
        <w:t xml:space="preserve">Ergebnis: </w:t>
      </w:r>
      <w:r>
        <w:t>Von 83 Pflegekräften aus 37 Zentren: hohe Bereitschaft bei Arbeitsbedingungen, individuellen Voraussetzungen und Haltungen; mittlere Bereitschaft bei wahrgenommenem Management-Support; niedrige Bereitschaft bei Kollegenbereitschaft. Keine signifikanten Assoziationen zwischen E-Ready-Dimensionen und Adoption gefunden, aber positive Schätzungen für Kollegenbereitschaft (IRR=1,1, p=0,05).</w:t>
      </w:r>
    </w:p>
    <w:p>
      <w:r>
        <w:rPr>
          <w:b/>
          <w:sz w:val="19"/>
        </w:rPr>
        <w:t xml:space="preserve">Übertragbarkeit: </w:t>
      </w:r>
      <w:r>
        <w:rPr>
          <w:sz w:val="19"/>
        </w:rPr>
        <w:t>Schwedische Routinedaten, vergleichbares System mit Fokus auf Implementierungsprozesse</w:t>
      </w:r>
    </w:p>
    <w:p>
      <w:r>
        <w:rPr>
          <w:color w:val="5A7D3A"/>
          <w:sz w:val="18"/>
        </w:rPr>
        <w:t>https://pubmed.ncbi.nlm.nih.gov/42963759/</w:t>
      </w:r>
    </w:p>
    <w:p>
      <w:pPr>
        <w:pStyle w:val="Heading2"/>
      </w:pPr>
      <w:r>
        <w:t>FRAM-Methode für Teamprozessverbesserung bei Medikamentenabstimmung</w:t>
      </w:r>
    </w:p>
    <w:p>
      <w:r>
        <w:rPr>
          <w:i/>
          <w:color w:val="666666"/>
          <w:sz w:val="18"/>
        </w:rPr>
        <w:t>van Dijk L et al.  ·  BMC Health Serv Res  ·  29.07.2026  ·  PMID 42963755</w:t>
      </w:r>
    </w:p>
    <w:p>
      <w:r>
        <w:t>Multizentrisches qualitatives Studiendesign mit neun Stationen aus acht niederländischen Krankenhäusern zur Identifikation von Barrieren und Facilitatoren für Teamprozessverbesserung unter Anwendung der FRAM-Methode.</w:t>
      </w:r>
    </w:p>
    <w:p>
      <w:r>
        <w:rPr>
          <w:b/>
        </w:rPr>
        <w:t xml:space="preserve">Ergebnis: </w:t>
      </w:r>
      <w:r>
        <w:t>Auf allen Stationen wurden Diskrepanzen zwischen Protokoll und Praxis identifiziert. Facilitatoren: dedizierte Taskforces und multidisziplinäre Teams, Vertrautheit mit Prozess. Barrieren: fehlende Motivation, geringe Beteiligung der Stations-Kontaktperson. Die meisten Stationen schlugen Verbesserungen vor.</w:t>
      </w:r>
    </w:p>
    <w:p>
      <w:r>
        <w:rPr>
          <w:b/>
          <w:sz w:val="19"/>
        </w:rPr>
        <w:t xml:space="preserve">Übertragbarkeit: </w:t>
      </w:r>
      <w:r>
        <w:rPr>
          <w:sz w:val="19"/>
        </w:rPr>
        <w:t>Niederlande, vergleichbares Sozialversicherungssystem mit ähnlichen Prozessstrukturen</w:t>
      </w:r>
    </w:p>
    <w:p>
      <w:r>
        <w:rPr>
          <w:color w:val="5A7D3A"/>
          <w:sz w:val="18"/>
        </w:rPr>
        <w:t>https://pubmed.ncbi.nlm.nih.gov/42963755/</w:t>
      </w:r>
    </w:p>
    <w:p>
      <w:pPr>
        <w:pStyle w:val="Heading2"/>
      </w:pPr>
      <w:r>
        <w:t>Barrieren und Facilitatoren für Autismus-Rehabilitationsservices in China</w:t>
      </w:r>
    </w:p>
    <w:p>
      <w:r>
        <w:rPr>
          <w:i/>
          <w:color w:val="666666"/>
          <w:sz w:val="18"/>
        </w:rPr>
        <w:t>Yang Y et al.  ·  BMC Health Serv Res  ·  12.08.2026  ·  PMID 42963741</w:t>
      </w:r>
    </w:p>
    <w:p>
      <w:r>
        <w:t>Qualitative Studie mit CFIR-Rahmen identifizierte Barrieren und Facilitatoren für die Nutzung von Rehabilitationsdiensten durch Familien autistischer Kinder in China und konstruierte ein Multi-Stakeholder-Handlungsprogramm.</w:t>
      </w:r>
    </w:p>
    <w:p>
      <w:r>
        <w:rPr>
          <w:b/>
        </w:rPr>
        <w:t xml:space="preserve">Ergebnis: </w:t>
      </w:r>
      <w:r>
        <w:t>37 Pflegepersonen (30 servicegenutzer, 7 nicht-genutzer): 9 Facilitatoren und 15 Barrieren für servicegenutzte Familien; 2 Facilitatoren und 9 Barrieren für nicht-genutzte. Universelle Barrieren: hohe Kosten, geografische Ressourcenlücken, unzureichende Fertigkeiten. Evidenzbasiertes Handlungsprogramm mit Multi-Level-Netzwerk entwickelt.</w:t>
      </w:r>
    </w:p>
    <w:p>
      <w:r>
        <w:rPr>
          <w:b/>
          <w:sz w:val="19"/>
        </w:rPr>
        <w:t xml:space="preserve">Übertragbarkeit: </w:t>
      </w:r>
      <w:r>
        <w:rPr>
          <w:sz w:val="19"/>
        </w:rPr>
        <w:t>China, qualitative Analyse mit systemübergreifender Relevanz für Vulnerabilität und Gesundheitsgerechtigkeit</w:t>
      </w:r>
    </w:p>
    <w:p>
      <w:r>
        <w:rPr>
          <w:color w:val="5A7D3A"/>
          <w:sz w:val="18"/>
        </w:rPr>
        <w:t>https://pubmed.ncbi.nlm.nih.gov/42963741/</w:t>
      </w:r>
    </w:p>
    <w:p>
      <w:pPr>
        <w:pStyle w:val="Heading2"/>
      </w:pPr>
      <w:r>
        <w:t>Versorgungsforschungslücken in der deutschen Schlaganfallversorgung</w:t>
      </w:r>
    </w:p>
    <w:p>
      <w:r>
        <w:rPr>
          <w:i/>
          <w:color w:val="666666"/>
          <w:sz w:val="18"/>
        </w:rPr>
        <w:t>Wiegand FN et al.  ·  Neurol Res Pract  ·  30.10.2026  ·  PMID 42963585</w:t>
      </w:r>
    </w:p>
    <w:p>
      <w:r>
        <w:t>Positionspapier der Deutschen Schlaganfall-Gesellschaft zur Dokumentation der Schlaganfall-Epidemiologie, Versorgungsqualität und Identifikation von Forschungslücken im deutschen Gesundheitssystem.</w:t>
      </w:r>
    </w:p>
    <w:p>
      <w:r>
        <w:rPr>
          <w:b/>
        </w:rPr>
        <w:t xml:space="preserve">Ergebnis: </w:t>
      </w:r>
      <w:r>
        <w:t>Geschätzt ca. 253.000 Schlaganfälle in Deutschland 2023. Altersadjustierte Mortalität seit 2018 stabil. Hohe Prozess- und Outcome-Qualität in zertifizierten Stroke Units, aber Verbesserungsbedarf in Nachsorge und strukturierter ambulanter Weiterbetreuung. Zukünftige Prioritäten: Real-World-Daten für Langzeitoutcomes, PROMs, Telemedizin.</w:t>
      </w:r>
    </w:p>
    <w:p>
      <w:r>
        <w:rPr>
          <w:b/>
          <w:sz w:val="19"/>
        </w:rPr>
        <w:t xml:space="preserve">Übertragbarkeit: </w:t>
      </w:r>
      <w:r>
        <w:rPr>
          <w:sz w:val="19"/>
        </w:rPr>
        <w:t>Deutschland, deutsche Routinedaten und Versorgungsregisters</w:t>
      </w:r>
    </w:p>
    <w:p>
      <w:r>
        <w:rPr>
          <w:color w:val="5A7D3A"/>
          <w:sz w:val="18"/>
        </w:rPr>
        <w:t>https://pubmed.ncbi.nlm.nih.gov/42963585/</w:t>
      </w:r>
    </w:p>
    <w:p>
      <w:pPr>
        <w:pStyle w:val="Heading2"/>
      </w:pPr>
      <w:r>
        <w:t>Gründe für Verbleib oder Austritt von zurückgekehrten Pflegekräften nach COVID-19</w:t>
      </w:r>
    </w:p>
    <w:p>
      <w:r>
        <w:rPr>
          <w:i/>
          <w:color w:val="666666"/>
          <w:sz w:val="18"/>
        </w:rPr>
        <w:t>Arts APM et al.  ·  Int J Nurs Stud Adv  ·  12.10.2026  ·  PMID 42959707</w:t>
      </w:r>
    </w:p>
    <w:p>
      <w:r>
        <w:t>Qualitative Folgestudie mit 13 Interviews untersucht Motivationen von Pflegekräften, die während COVID-19 in den Beruf zurückkehrten, um entweder zu bleiben oder ihn wieder zu verlassen.</w:t>
      </w:r>
    </w:p>
    <w:p>
      <w:r>
        <w:rPr>
          <w:b/>
        </w:rPr>
        <w:t xml:space="preserve">Ergebnis: </w:t>
      </w:r>
      <w:r>
        <w:t>3 Stayer und 10 Leaver: Stayer nannten sinnvolle Arbeit, Weiterentwicklungsmöglichkeiten und Führungsunterstützung. Leaver nannten fehlende Entwicklungschancen, ungünstige Arbeitsbedingungen, mangelnde Unterstützung, begrenzte Autonomie und anspruchsvolles Re-Registrierungsverfahren.</w:t>
      </w:r>
    </w:p>
    <w:p>
      <w:r>
        <w:rPr>
          <w:b/>
          <w:sz w:val="19"/>
        </w:rPr>
        <w:t xml:space="preserve">Übertragbarkeit: </w:t>
      </w:r>
      <w:r>
        <w:rPr>
          <w:sz w:val="19"/>
        </w:rPr>
        <w:t>Niederlande, Versorgungsforschung zu Personalbindung mit transferierbaren Erkenntnissen</w:t>
      </w:r>
    </w:p>
    <w:p>
      <w:r>
        <w:rPr>
          <w:color w:val="5A7D3A"/>
          <w:sz w:val="18"/>
        </w:rPr>
        <w:t>https://pubmed.ncbi.nlm.nih.gov/42959707/</w:t>
      </w:r>
    </w:p>
    <w:p>
      <w:pPr>
        <w:pStyle w:val="Heading1"/>
      </w:pPr>
      <w:r>
        <w:t>Aufgenommen am 31.10.2026</w:t>
      </w:r>
    </w:p>
    <w:p>
      <w:pPr>
        <w:pStyle w:val="Heading2"/>
      </w:pPr>
      <w:r>
        <w:t>Kardiologen-Workload und Leitlinien-Therapie bei Herzinsuffizienz</w:t>
      </w:r>
    </w:p>
    <w:p>
      <w:r>
        <w:rPr>
          <w:i/>
          <w:color w:val="666666"/>
          <w:sz w:val="18"/>
        </w:rPr>
        <w:t>Mukhopadhyay A et al.  ·  J Am Heart Assoc  ·  30.10.2026  ·  PMID 42960833</w:t>
      </w:r>
    </w:p>
    <w:p>
      <w:r>
        <w:t>Querschnittsstudie untersuchte, ob höhere tägliche Patientenzahl von Kardiologen mit weniger Verschreibung von leitliniengerechter Vierfach-Medikation bei reduzierter Ejektionsfraktion verbunden ist.</w:t>
      </w:r>
    </w:p>
    <w:p>
      <w:r>
        <w:rPr>
          <w:b/>
        </w:rPr>
        <w:t xml:space="preserve">Ergebnis: </w:t>
      </w:r>
      <w:r>
        <w:t>Bei 40.173 Patienten, betreut von 881 Kardiologen (Median 9,1 Patienten/Tag): Leitliniengerechte Vierfach-Therapie war höher in Quartil 1 (14%) vs. Quartil 4 (7,4%, p&lt;0,001). Im adjustierten Modell hatte Quartil 1 höhere Odds (aOR 1,35; 95% CI 1,09–1,66) vs. Quartil 4. Höhere tägliche Workload war mit schlechterer Verschreibungspraxis assoziiert.</w:t>
      </w:r>
    </w:p>
    <w:p>
      <w:r>
        <w:rPr>
          <w:b/>
          <w:sz w:val="19"/>
        </w:rPr>
        <w:t xml:space="preserve">Übertragbarkeit: </w:t>
      </w:r>
      <w:r>
        <w:rPr>
          <w:sz w:val="19"/>
        </w:rPr>
        <w:t>US-Daten zu Versorgungsorganisation, systemunabhängige Fragestellung zu Zeitmangel</w:t>
      </w:r>
    </w:p>
    <w:p>
      <w:r>
        <w:rPr>
          <w:color w:val="5A7D3A"/>
          <w:sz w:val="18"/>
        </w:rPr>
        <w:t>https://pubmed.ncbi.nlm.nih.gov/42960833/</w:t>
      </w:r>
    </w:p>
    <w:p>
      <w:pPr>
        <w:pStyle w:val="Heading2"/>
      </w:pPr>
      <w:r>
        <w:t>Klinische und psychosoziale Faktoren bei Hybrid- vs. Präsenzbetreuung chronisch Kranker</w:t>
      </w:r>
    </w:p>
    <w:p>
      <w:r>
        <w:rPr>
          <w:i/>
          <w:color w:val="666666"/>
          <w:sz w:val="18"/>
        </w:rPr>
        <w:t>Saldarriaga-Bedoya K et al.  ·  Prim Health Care Res Dev  ·  30.10.2026  ·  PMID 42960832</w:t>
      </w:r>
    </w:p>
    <w:p>
      <w:r>
        <w:t>Retrospektive Kohortenstudie zur ärztlichen Allokation von 638 Patienten mit Hypertonie/Diabetes/Dyslipidämie zu Hybrid- oder Präsenzbetreuung und deren Zusammenhang mit Baseline-Charakteristika und 3-Jahres-Outcomes.</w:t>
      </w:r>
    </w:p>
    <w:p>
      <w:r>
        <w:rPr>
          <w:b/>
        </w:rPr>
        <w:t xml:space="preserve">Ergebnis: </w:t>
      </w:r>
      <w:r>
        <w:t>Hybrid-Allokation war assoziiert mit höherem HbA1c (aOR 2,68 pro 1% Anstieg; 95% CI 2,17–3,31) und schlechterer Medikamenten-Adhärenz (aOR 1,96; 95% CI 1,17–3,28), aber invers mit höherer Schulbildung. Nach 3 Jahren: Hybrid-Care zeigte höhere Therapiezielrate (OR 7,34; 95% CI 4,96–10,86) und weniger notfallmäßige Besuche (OR 0,53; 95% CI 0,36–0,79).</w:t>
      </w:r>
    </w:p>
    <w:p>
      <w:r>
        <w:rPr>
          <w:b/>
          <w:sz w:val="19"/>
        </w:rPr>
        <w:t xml:space="preserve">Übertragbarkeit: </w:t>
      </w:r>
      <w:r>
        <w:rPr>
          <w:sz w:val="19"/>
        </w:rPr>
        <w:t>Sozialversicherungssystem Kolumbien, ähnliche Fragestellung wie deutsches System</w:t>
      </w:r>
    </w:p>
    <w:p>
      <w:r>
        <w:rPr>
          <w:color w:val="5A7D3A"/>
          <w:sz w:val="18"/>
        </w:rPr>
        <w:t>https://pubmed.ncbi.nlm.nih.gov/42960832/</w:t>
      </w:r>
    </w:p>
    <w:p>
      <w:pPr>
        <w:pStyle w:val="Heading2"/>
      </w:pPr>
      <w:r>
        <w:t>Forschungsengagement von Hausärzten: Evidenzbasierte Ansätze</w:t>
      </w:r>
    </w:p>
    <w:p>
      <w:r>
        <w:rPr>
          <w:i/>
          <w:color w:val="666666"/>
          <w:sz w:val="18"/>
        </w:rPr>
        <w:t>Low JTS et al.  ·  J Prim Care Community Health  ·  30.10.2026  ·  PMID 42960689</w:t>
      </w:r>
    </w:p>
    <w:p>
      <w:r>
        <w:t>Dreiphasiges mixed-methods-Projekt zur Identifikation von Barrieren und Facilitators für Hausarzt-Forschungsbeteiligung in Südwestlondon und Entwicklung lokaler Strategien.</w:t>
      </w:r>
    </w:p>
    <w:p>
      <w:r>
        <w:rPr>
          <w:b/>
        </w:rPr>
        <w:t xml:space="preserve">Ergebnis: </w:t>
      </w:r>
      <w:r>
        <w:t>Phase 1 (Literaturreview) und Phase 2 (19 Interviews mit Hausärzten) identifizierten strukturelle, motivationale und relationale Barrieren (fehlende Schutzzeit, Finanzierung, Administrationsunterstützung, schlechte Studieninformation) und Facilitators (klinische Prioritäten-Alignment, Skillentwicklung, organisationales Support). Phase 3 (Workshop): Vier strategische Handlungsfelder definiert – Sichtbarkeit &amp; Forschungskultur, Kommunikation, nachhaltige Rekrutierungskapazität, Inklusion unterversorgter Gruppen.</w:t>
      </w:r>
    </w:p>
    <w:p>
      <w:r>
        <w:rPr>
          <w:b/>
          <w:sz w:val="19"/>
        </w:rPr>
        <w:t xml:space="preserve">Übertragbarkeit: </w:t>
      </w:r>
      <w:r>
        <w:rPr>
          <w:sz w:val="19"/>
        </w:rPr>
        <w:t>UK-System, aber Prozessqualität und Patientenperspektive auf Deutschland übertragbar</w:t>
      </w:r>
    </w:p>
    <w:p>
      <w:r>
        <w:rPr>
          <w:color w:val="5A7D3A"/>
          <w:sz w:val="18"/>
        </w:rPr>
        <w:t>https://pubmed.ncbi.nlm.nih.gov/42960689/</w:t>
      </w:r>
    </w:p>
    <w:p>
      <w:pPr>
        <w:pStyle w:val="Heading2"/>
      </w:pPr>
      <w:r>
        <w:t>Erkennung von Stauungspapille in der Hausarztpraxis</w:t>
      </w:r>
    </w:p>
    <w:p>
      <w:r>
        <w:rPr>
          <w:i/>
          <w:color w:val="666666"/>
          <w:sz w:val="18"/>
        </w:rPr>
        <w:t>Skrobot OA et al.  ·  BMJ Open  ·  29.10.2026  ·  PMID 42957307</w:t>
      </w:r>
    </w:p>
    <w:p>
      <w:r>
        <w:t>Mixed-Methods-Querschnittsstudie zur Identifikation von Stauungspapillen durch Hausärzte in England.</w:t>
      </w:r>
    </w:p>
    <w:p>
      <w:r>
        <w:rPr>
          <w:b/>
        </w:rPr>
        <w:t xml:space="preserve">Ergebnis: </w:t>
      </w:r>
      <w:r>
        <w:t>Konkrete Ergebnisse zur diagnostischen Genauigkeit, Häufigkeit und klinischen Bedeutung werden berichtet; Studie dokumentiert Erkennungshäufigkeit und ärztliche Herausforderungen bei dieser Diagnose.</w:t>
      </w:r>
    </w:p>
    <w:p>
      <w:r>
        <w:rPr>
          <w:b/>
          <w:sz w:val="19"/>
        </w:rPr>
        <w:t xml:space="preserve">Übertragbarkeit: </w:t>
      </w:r>
      <w:r>
        <w:rPr>
          <w:sz w:val="19"/>
        </w:rPr>
        <w:t>England, steuerfinanziert aber gutes Qualitätsbeispiel für Primärversorgung</w:t>
      </w:r>
    </w:p>
    <w:p>
      <w:r>
        <w:rPr>
          <w:color w:val="5A7D3A"/>
          <w:sz w:val="18"/>
        </w:rPr>
        <w:t>https://pubmed.ncbi.nlm.nih.gov/42957307/</w:t>
      </w:r>
    </w:p>
    <w:p>
      <w:pPr>
        <w:pStyle w:val="Heading2"/>
      </w:pPr>
      <w:r>
        <w:t>Indikatoren für Qualität in palliativer Versorgung am Lebensende</w:t>
      </w:r>
    </w:p>
    <w:p>
      <w:r>
        <w:rPr>
          <w:i/>
          <w:color w:val="666666"/>
          <w:sz w:val="18"/>
        </w:rPr>
        <w:t>Paredes-Coronel C et al.  ·  Front Public Health  ·  13.10.2026  ·  PMID 42948309</w:t>
      </w:r>
    </w:p>
    <w:p>
      <w:r>
        <w:t>Narrative Review identifizierte konzeptuelle Domänen von Qualität in palliativer Versorgung und entwickelte einen Rahmen zu deren Operationalisierung für Messung.</w:t>
      </w:r>
    </w:p>
    <w:p>
      <w:r>
        <w:rPr>
          <w:b/>
        </w:rPr>
        <w:t xml:space="preserve">Ergebnis: </w:t>
      </w:r>
      <w:r>
        <w:t>19 Studien analysiert; sechs konsistente Qualitätsdomänen identifiziert: Kommunikation und Shared Decision Making, Symptommanagement, psychosozial-spirituale Unterstützung, Respekt vor Patientenpräferenzen, spezialisierte Palliativversorgung, Vermeidung nicht-nutzbringender Interventionen. Framework verbindet konzeptuelle mit operationalen Indikatoren; methodische Validierung erforderlich.</w:t>
      </w:r>
    </w:p>
    <w:p>
      <w:r>
        <w:rPr>
          <w:b/>
          <w:sz w:val="19"/>
        </w:rPr>
        <w:t xml:space="preserve">Übertragbarkeit: </w:t>
      </w:r>
      <w:r>
        <w:rPr>
          <w:sz w:val="19"/>
        </w:rPr>
        <w:t>Multnationale Perspektive, Qualitätsmessung systemunabhängig</w:t>
      </w:r>
    </w:p>
    <w:p>
      <w:r>
        <w:rPr>
          <w:color w:val="5A7D3A"/>
          <w:sz w:val="18"/>
        </w:rPr>
        <w:t>https://pubmed.ncbi.nlm.nih.gov/42948309/</w:t>
      </w:r>
    </w:p>
    <w:p>
      <w:pPr>
        <w:pStyle w:val="Heading2"/>
      </w:pPr>
      <w:r>
        <w:t>Globale Last ungeplanter Vergiftungen 1990–2023</w:t>
      </w:r>
    </w:p>
    <w:p>
      <w:r>
        <w:rPr>
          <w:i/>
          <w:color w:val="666666"/>
          <w:sz w:val="18"/>
        </w:rPr>
        <w:t>GBD 2023 Unintentional Poisoning Collaborators  ·  Lancet Public Health  ·  27.10.2026  ·  PMID 42945982</w:t>
      </w:r>
    </w:p>
    <w:p>
      <w:r>
        <w:t>Global-Burden-of-Disease-Analyse quantifizierte Morbidität, Mortalität und DALYs ungeplanter Vergiftungen (Kohlenmonoxid und andere Substanzen) nach Region und SDI-Kategorie.</w:t>
      </w:r>
    </w:p>
    <w:p>
      <w:r>
        <w:rPr>
          <w:b/>
        </w:rPr>
        <w:t xml:space="preserve">Ergebnis: </w:t>
      </w:r>
      <w:r>
        <w:t>2023: 2,54 Mio. Vergiftungsfälle, 69.805 Todesfälle, 3,68 Mio. DALYs global. Kohlenmonoxid: 641.932 Fälle, 30.890 Todesfälle, 1,34 Mio. DALYs. Andere Mittel: 1,90 Mio. Fälle, 38.914 Todesfälle, 2,34 Mio. DALYs. DALY-Rate seit 1990 um 47,5% gesunken; Kohlenmonoxid um 58,2%. Mortalität invers zu SDI; höchste Fallsterblichkeit in niedrig-SDI-Ländern.</w:t>
      </w:r>
    </w:p>
    <w:p>
      <w:r>
        <w:rPr>
          <w:b/>
          <w:sz w:val="19"/>
        </w:rPr>
        <w:t xml:space="preserve">Übertragbarkeit: </w:t>
      </w:r>
      <w:r>
        <w:rPr>
          <w:sz w:val="19"/>
        </w:rPr>
        <w:t>Systemunabhängige Public-Health-Surveillance, relevante Outcome-Definitionen</w:t>
      </w:r>
    </w:p>
    <w:p>
      <w:r>
        <w:rPr>
          <w:color w:val="5A7D3A"/>
          <w:sz w:val="18"/>
        </w:rPr>
        <w:t>https://pubmed.ncbi.nlm.nih.gov/42945982/</w:t>
      </w:r>
    </w:p>
    <w:p>
      <w:pPr>
        <w:pStyle w:val="Heading2"/>
      </w:pPr>
      <w:r>
        <w:t>Gesundheitsbezogene Lebensqualität bei metabolisch-assoziierter Steatohepatitis</w:t>
      </w:r>
    </w:p>
    <w:p>
      <w:r>
        <w:rPr>
          <w:i/>
          <w:color w:val="666666"/>
          <w:sz w:val="18"/>
        </w:rPr>
        <w:t>Shumbayawonda E et al.  ·  Qual Life Res  ·  22.10.2026  ·  PMID 42911297</w:t>
      </w:r>
    </w:p>
    <w:p>
      <w:r>
        <w:t>Multinationale RCT (Deutschland, Niederlande, Portugal, UK) mit 802 MASLD/MASH-Patienten; EQ-5D-5L zu vier Zeitpunkten erhoben und mit multiparametrischer MRI assoziiert.</w:t>
      </w:r>
    </w:p>
    <w:p>
      <w:r>
        <w:rPr>
          <w:b/>
        </w:rPr>
        <w:t xml:space="preserve">Ergebnis: </w:t>
      </w:r>
      <w:r>
        <w:t>MASH-Patienten (cT1 ≥800ms) berichteten geringere Lebensqualität in allen EQ-5D-Dimensionen vs. MASLD. Baseline-Utilities 0,81–0,90, Monat 12: 0,82–0,90. Hochrisiko-MASH (cT1 ≥875ms): 12% höhere Beschwerden. Steigende cT1 um 80ms = 0,023-Punkte Utility-Abnahme (p=0,039). Steigende cT1 mit 29% höheren Odds für Angst/Depression (p&lt;0,05).</w:t>
      </w:r>
    </w:p>
    <w:p>
      <w:r>
        <w:rPr>
          <w:b/>
          <w:sz w:val="19"/>
        </w:rPr>
        <w:t xml:space="preserve">Übertragbarkeit: </w:t>
      </w:r>
      <w:r>
        <w:rPr>
          <w:sz w:val="19"/>
        </w:rPr>
        <w:t>Niederlande, Deutschland beteiligt; Sozialversicherungssysteme, direkt übertragbar</w:t>
      </w:r>
    </w:p>
    <w:p>
      <w:r>
        <w:rPr>
          <w:color w:val="5A7D3A"/>
          <w:sz w:val="18"/>
        </w:rPr>
        <w:t>https://pubmed.ncbi.nlm.nih.gov/42911297/</w:t>
      </w:r>
    </w:p>
    <w:p>
      <w:pPr>
        <w:pStyle w:val="Heading1"/>
      </w:pPr>
      <w:r>
        <w:t>Aufgenommen am 30.10.2026</w:t>
      </w:r>
    </w:p>
    <w:p>
      <w:pPr>
        <w:pStyle w:val="Heading2"/>
      </w:pPr>
      <w:r>
        <w:t>Patientensicherheit und Chancengleichheit bei KI-gestützten Triage-Tools</w:t>
      </w:r>
    </w:p>
    <w:p>
      <w:r>
        <w:rPr>
          <w:i/>
          <w:color w:val="666666"/>
          <w:sz w:val="18"/>
        </w:rPr>
        <w:t>Alamoudi A et al.  ·  BMJ Health Care Inform  ·  28.10.2026  ·  PMID 42951327</w:t>
      </w:r>
    </w:p>
    <w:p>
      <w:r>
        <w:t>Systematische Übersichtsarbeit zur Sicherheit und Chancengleichheit von KI-basierten Triage-Systemen in der Primärversorgung.</w:t>
      </w:r>
    </w:p>
    <w:p>
      <w:r>
        <w:rPr>
          <w:b/>
        </w:rPr>
        <w:t xml:space="preserve">Ergebnis: </w:t>
      </w:r>
      <w:r>
        <w:t>Die Übersichtsarbeit fand heterogene Evidenz für KI-Triage-Tools; viele Studien wiesen Lücken bei der Bewertung von Sicherheit, Fairness und Chancengleichheit auf, ohne konkrete Zahlen zu nennen.</w:t>
      </w:r>
    </w:p>
    <w:p>
      <w:r>
        <w:rPr>
          <w:b/>
          <w:sz w:val="19"/>
        </w:rPr>
        <w:t xml:space="preserve">Übertragbarkeit: </w:t>
      </w:r>
      <w:r>
        <w:rPr>
          <w:sz w:val="19"/>
        </w:rPr>
        <w:t>Vereinigtes Königreich und Manchester; Primärversorgung als zentrales Thema, teilweise übertragbar.</w:t>
      </w:r>
    </w:p>
    <w:p>
      <w:r>
        <w:rPr>
          <w:color w:val="5A7D3A"/>
          <w:sz w:val="18"/>
        </w:rPr>
        <w:t>https://pubmed.ncbi.nlm.nih.gov/42951327/</w:t>
      </w:r>
    </w:p>
    <w:p>
      <w:pPr>
        <w:pStyle w:val="Heading2"/>
      </w:pPr>
      <w:r>
        <w:t>Patientenstimme in datengesteuerten Gesundheitssystemen verankern</w:t>
      </w:r>
    </w:p>
    <w:p>
      <w:r>
        <w:rPr>
          <w:i/>
          <w:color w:val="666666"/>
          <w:sz w:val="18"/>
        </w:rPr>
        <w:t>Boyer L et al.  ·  J Epidemiol Popul Health  ·  28.10.2026  ·  PMID 42950599</w:t>
      </w:r>
    </w:p>
    <w:p>
      <w:r>
        <w:t>Essay zur Integration von Patient-Reported Outcomes in datengesteuerte Versorgungssysteme.</w:t>
      </w:r>
    </w:p>
    <w:p>
      <w:r>
        <w:rPr>
          <w:b/>
        </w:rPr>
        <w:t xml:space="preserve">Ergebnis: </w:t>
      </w:r>
      <w:r>
        <w:t>Der Beitrag argumentiert konzeptionell für die strukturelle Verankerung von Patientenperspektiven; konkrete Evidenzzahlen nicht vorhanden.</w:t>
      </w:r>
    </w:p>
    <w:p>
      <w:r>
        <w:rPr>
          <w:b/>
          <w:sz w:val="19"/>
        </w:rPr>
        <w:t xml:space="preserve">Übertragbarkeit: </w:t>
      </w:r>
      <w:r>
        <w:rPr>
          <w:sz w:val="19"/>
        </w:rPr>
        <w:t>Frankreich, Vereinigte Staaten; Konzeptioneller Beitrag zur Versorgungsorganisation.</w:t>
      </w:r>
    </w:p>
    <w:p>
      <w:r>
        <w:rPr>
          <w:color w:val="5A7D3A"/>
          <w:sz w:val="18"/>
        </w:rPr>
        <w:t>https://pubmed.ncbi.nlm.nih.gov/42950599/</w:t>
      </w:r>
    </w:p>
    <w:p>
      <w:pPr>
        <w:pStyle w:val="Heading2"/>
      </w:pPr>
      <w:r>
        <w:t>Barrieren für psychische Gesundheitsversorgung bei belasteten Brustkrebsüberlebenden</w:t>
      </w:r>
    </w:p>
    <w:p>
      <w:r>
        <w:rPr>
          <w:i/>
          <w:color w:val="666666"/>
          <w:sz w:val="18"/>
        </w:rPr>
        <w:t>Danner A et al.  ·  Psychooncology  ·  Okt. 2026  ·  PMID 42947255</w:t>
      </w:r>
    </w:p>
    <w:p>
      <w:r>
        <w:t>Sequenzielle erklärende Mischtethoden-Studie zu Barrieren für die Inanspruchnahme psychischer Gesundheitsdienste bei Brustkrebsüberlebenden mit klinisch signifikanter Belastung.</w:t>
      </w:r>
    </w:p>
    <w:p>
      <w:r>
        <w:rPr>
          <w:b/>
        </w:rPr>
        <w:t xml:space="preserve">Ergebnis: </w:t>
      </w:r>
      <w:r>
        <w:t>Von 298 (77,81%) Überlebenden mit klinisch signifikanter Belastung nutzten nur 61 (20,47%) psychische Dienste in den vorherigen 3 Monaten. Angst (p=0,0030), Depression (p=0,0015) und PTBS (p=0,0387) waren signifikant assoziiert mit Dienstnutzung, Angststörungen aber mit weniger Besuchen.</w:t>
      </w:r>
    </w:p>
    <w:p>
      <w:r>
        <w:rPr>
          <w:b/>
          <w:sz w:val="19"/>
        </w:rPr>
        <w:t xml:space="preserve">Übertragbarkeit: </w:t>
      </w:r>
      <w:r>
        <w:rPr>
          <w:sz w:val="19"/>
        </w:rPr>
        <w:t>USA; systemabhängig, aber Barrierentypen zu Versorgungsintegration übertragbar.</w:t>
      </w:r>
    </w:p>
    <w:p>
      <w:r>
        <w:rPr>
          <w:color w:val="5A7D3A"/>
          <w:sz w:val="18"/>
        </w:rPr>
        <w:t>https://pubmed.ncbi.nlm.nih.gov/42947255/</w:t>
      </w:r>
    </w:p>
    <w:p>
      <w:pPr>
        <w:pStyle w:val="Heading2"/>
      </w:pPr>
      <w:r>
        <w:t>Patientenzentrierter Zugang zur psychischen Gesundheitsversorgung über Lebensphasen</w:t>
      </w:r>
    </w:p>
    <w:p>
      <w:r>
        <w:rPr>
          <w:i/>
          <w:color w:val="666666"/>
          <w:sz w:val="18"/>
        </w:rPr>
        <w:t>Cwik JC et al.  ·  BMC Health Serv Res  ·  22.10.2026  ·  PMID 42920109</w:t>
      </w:r>
    </w:p>
    <w:p>
      <w:r>
        <w:t>Scoping Review zu Zugangsbarrieren für psychische Gesundheitsversorgung bei Schwangeren, Kindern/Adoleszenten und älteren Erwachsenen nach Levesque-Rahmen.</w:t>
      </w:r>
    </w:p>
    <w:p>
      <w:r>
        <w:rPr>
          <w:b/>
        </w:rPr>
        <w:t xml:space="preserve">Ergebnis: </w:t>
      </w:r>
      <w:r>
        <w:t>37 Quellen identifiziert (23 empirische Studien, 11 Reviews); nur 10 mit direkter Evidenz. Berichtete Barrieren: vor formaler Kontaktaufnahme, Navigierung, kulturelle Akzeptanz, Personalknappheit, Bezahlbarkeit, Kontinuität. Limitierte validierte Messung der Integration.</w:t>
      </w:r>
    </w:p>
    <w:p>
      <w:r>
        <w:rPr>
          <w:b/>
          <w:sz w:val="19"/>
        </w:rPr>
        <w:t xml:space="preserve">Übertragbarkeit: </w:t>
      </w:r>
      <w:r>
        <w:rPr>
          <w:sz w:val="19"/>
        </w:rPr>
        <w:t>Deutschland, Niederlande; konzeptioneller Überblick über Zugangsbarrieren in vergleichbaren Systemen.</w:t>
      </w:r>
    </w:p>
    <w:p>
      <w:r>
        <w:rPr>
          <w:color w:val="5A7D3A"/>
          <w:sz w:val="18"/>
        </w:rPr>
        <w:t>https://pubmed.ncbi.nlm.nih.gov/42920109/</w:t>
      </w:r>
    </w:p>
    <w:p>
      <w:pPr>
        <w:pStyle w:val="Heading2"/>
      </w:pPr>
      <w:r>
        <w:t>Implementierungsbarrieren und -förderer für evidenzbasierte Arthrose-Versorgung</w:t>
      </w:r>
    </w:p>
    <w:p>
      <w:r>
        <w:rPr>
          <w:i/>
          <w:color w:val="666666"/>
          <w:sz w:val="18"/>
        </w:rPr>
        <w:t>Busse TS et al.  ·  JMIR Rehabil Assist Technol  ·  23.10.2026  ·  PMID 42913401</w:t>
      </w:r>
    </w:p>
    <w:p>
      <w:r>
        <w:t>Qualitative Experteninterviews (n=12 aus 6 Ländern) zu Barrieren und Förderfaktoren bei der Implementierung von digitaler, hybrider und analoger, evidenzbasierter Arthrose-Versorgung.</w:t>
      </w:r>
    </w:p>
    <w:p>
      <w:r>
        <w:rPr>
          <w:b/>
        </w:rPr>
        <w:t xml:space="preserve">Ergebnis: </w:t>
      </w:r>
      <w:r>
        <w:t>Hauptbarrieren: begrenzte Finanzierung, Erstattungsstrukturen, unzureichende politische Unterstützung, organisatorische Komplexität, rechtliche Anforderungen. Wichtige Förderer: starke Führung, interdisziplinäre Zusammenarbeit, strukturierte Kommunikation, Anpassung an lokale Kontexte, Nutzung internationaler Programmstrukturen.</w:t>
      </w:r>
    </w:p>
    <w:p>
      <w:r>
        <w:rPr>
          <w:b/>
          <w:sz w:val="19"/>
        </w:rPr>
        <w:t xml:space="preserve">Übertragbarkeit: </w:t>
      </w:r>
      <w:r>
        <w:rPr>
          <w:sz w:val="19"/>
        </w:rPr>
        <w:t>Internationale Querschnittsanalyse; Implementierungsfaktoren stark systemabhängig.</w:t>
      </w:r>
    </w:p>
    <w:p>
      <w:r>
        <w:rPr>
          <w:color w:val="5A7D3A"/>
          <w:sz w:val="18"/>
        </w:rPr>
        <w:t>https://pubmed.ncbi.nlm.nih.gov/42913401/</w:t>
      </w:r>
    </w:p>
    <w:p>
      <w:pPr>
        <w:pStyle w:val="Heading2"/>
      </w:pPr>
      <w:r>
        <w:t>Systematischer Workflow für LLM-gestützte Analyse von Politikframes</w:t>
      </w:r>
    </w:p>
    <w:p>
      <w:r>
        <w:rPr>
          <w:i/>
          <w:color w:val="666666"/>
          <w:sz w:val="18"/>
        </w:rPr>
        <w:t>Wenderoth J et al.  ·  Arch Public Health  ·  17.10.2026  ·  PMID 42897673</w:t>
      </w:r>
    </w:p>
    <w:p>
      <w:r>
        <w:t>Entwicklung und Validierung eines Workflows zur Verwendung großer Sprachmodelle (GPT-5, Gemini 3.1 Pro) zur automatisierten Rahmenextraktion aus Mediendebatten zur Public-Health-Politik.</w:t>
      </w:r>
    </w:p>
    <w:p>
      <w:r>
        <w:rPr>
          <w:b/>
        </w:rPr>
        <w:t xml:space="preserve">Ergebnis: </w:t>
      </w:r>
      <w:r>
        <w:t>GPT-5 erreichte 79,8% Präzision und 79,8% Recall, identifizierte 75,2% manuell kodierter Frames. Gemini 3.1 Pro Preview zeigte höhere Präzision aber niedrigeres Recall (F1-Score 79,0% vs. 79,8%). Ansatz generalisierbar auf verschiedene Frontier-Modelle.</w:t>
      </w:r>
    </w:p>
    <w:p>
      <w:r>
        <w:rPr>
          <w:b/>
          <w:sz w:val="19"/>
        </w:rPr>
        <w:t xml:space="preserve">Übertragbarkeit: </w:t>
      </w:r>
      <w:r>
        <w:rPr>
          <w:sz w:val="19"/>
        </w:rPr>
        <w:t>Deutschland; Methodenentwicklung für Versorgungsforschung mit Anwendung auf Politikanalyse.</w:t>
      </w:r>
    </w:p>
    <w:p>
      <w:r>
        <w:rPr>
          <w:color w:val="5A7D3A"/>
          <w:sz w:val="18"/>
        </w:rPr>
        <w:t>https://pubmed.ncbi.nlm.nih.gov/42897673/</w:t>
      </w:r>
    </w:p>
    <w:p>
      <w:pPr>
        <w:pStyle w:val="Heading1"/>
      </w:pPr>
      <w:r>
        <w:t>Aufgenommen am 29.10.2026</w:t>
      </w:r>
    </w:p>
    <w:p>
      <w:pPr>
        <w:pStyle w:val="Heading2"/>
      </w:pPr>
      <w:r>
        <w:t>Spezialisierte ILD-Kliniken verbessern Behandlung und Ergebnisse</w:t>
      </w:r>
    </w:p>
    <w:p>
      <w:r>
        <w:rPr>
          <w:i/>
          <w:color w:val="666666"/>
          <w:sz w:val="18"/>
        </w:rPr>
        <w:t>Farrand E et al.  ·  Chest  ·  28.10.2026  ·  PMID 42951064</w:t>
      </w:r>
    </w:p>
    <w:p>
      <w:r>
        <w:t>Retrospektive Kohortenstudie an einem akademischen Zentrum verglich Ergebnisse bei Lungenfibrose-Patienten in spezialisierter ILD-Klinik vs. anderen Ambulatorien.</w:t>
      </w:r>
    </w:p>
    <w:p>
      <w:r>
        <w:rPr>
          <w:b/>
        </w:rPr>
        <w:t xml:space="preserve">Ergebnis: </w:t>
      </w:r>
      <w:r>
        <w:t>66 % der 6.637 Patienten wurden in spezialisierter Klinik behandelt. Diese zeigten höhere Odds für CT-Bildgebung (OR 2,51), Antifibrotika-Therapie (OR 1,54) und niedrigere Odds für Lungenbiopsie (OR 0,47). Spezialisierte Klinik war mit niedrigerem adjustiertem Risiko für Hospitalisierung (HR 0,46), Notaufnahmebesuche (HR 0,68) und Mortalität (HR 0,57) assoziiert (alle p&lt;0,001).</w:t>
      </w:r>
    </w:p>
    <w:p>
      <w:r>
        <w:rPr>
          <w:b/>
          <w:sz w:val="19"/>
        </w:rPr>
        <w:t xml:space="preserve">Übertragbarkeit: </w:t>
      </w:r>
      <w:r>
        <w:rPr>
          <w:sz w:val="19"/>
        </w:rPr>
        <w:t>US-Daten, aber Fragestellung zur Spezialisierungswirkung systemunabhängig relevant.</w:t>
      </w:r>
    </w:p>
    <w:p>
      <w:r>
        <w:rPr>
          <w:color w:val="5A7D3A"/>
          <w:sz w:val="18"/>
        </w:rPr>
        <w:t>https://pubmed.ncbi.nlm.nih.gov/42951064/</w:t>
      </w:r>
    </w:p>
    <w:p>
      <w:pPr>
        <w:pStyle w:val="Heading2"/>
      </w:pPr>
      <w:r>
        <w:t>Telemonitoring erhöht Adherenz bei Mukoviszidose-Patienten</w:t>
      </w:r>
    </w:p>
    <w:p>
      <w:r>
        <w:rPr>
          <w:i/>
          <w:color w:val="666666"/>
          <w:sz w:val="18"/>
        </w:rPr>
        <w:t>Thee S et al.  ·  Ann Am Thorac Soc  ·  28.10.2026  ·  PMID 42949105</w:t>
      </w:r>
    </w:p>
    <w:p>
      <w:r>
        <w:t>Multizentrische RCT in Deutschland testete, ob multimodales Telemonitoring mit wöchentlicher Spirometrie und Coaching die Adhärenz zur Inhalationstherapie und pulmonale Exazerbationen bei Mukoviszidose beeinflusst.</w:t>
      </w:r>
    </w:p>
    <w:p>
      <w:r>
        <w:rPr>
          <w:b/>
        </w:rPr>
        <w:t xml:space="preserve">Ergebnis: </w:t>
      </w:r>
      <w:r>
        <w:t>296 Teilnehmer, Durchschnittsalter 31,3 Jahre. Baseline-Adhärenz war in der Interventionsgruppe höher (58,1 % vs. 44,0 %). Am Ende: 49,2 % vs. 32,6 % Adhärenz. Zeit bis erste Exazerbation unterschied sich nicht zwischen Gruppen; aber eine 10%-ige Adhärenz-Steigerung korrelierte mit 9 % Reduktion des Exazerbationsrisikos. Patienten mit FEV₁&lt;40 % hatten 2,4-fach höheres Risiko.</w:t>
      </w:r>
    </w:p>
    <w:p>
      <w:r>
        <w:rPr>
          <w:b/>
          <w:sz w:val="19"/>
        </w:rPr>
        <w:t xml:space="preserve">Übertragbarkeit: </w:t>
      </w:r>
      <w:r>
        <w:rPr>
          <w:sz w:val="19"/>
        </w:rPr>
        <w:t>Deutsche Studie, gesetzliches Versorgungssystem, direkt übertragbar.</w:t>
      </w:r>
    </w:p>
    <w:p>
      <w:r>
        <w:rPr>
          <w:color w:val="5A7D3A"/>
          <w:sz w:val="18"/>
        </w:rPr>
        <w:t>https://pubmed.ncbi.nlm.nih.gov/42949105/</w:t>
      </w:r>
    </w:p>
    <w:p>
      <w:pPr>
        <w:pStyle w:val="Heading2"/>
      </w:pPr>
      <w:r>
        <w:t>Rehabilitations-Koordinator verbessert Vokationsrehabilitation in Psychiatrie</w:t>
      </w:r>
    </w:p>
    <w:p>
      <w:r>
        <w:rPr>
          <w:i/>
          <w:color w:val="666666"/>
          <w:sz w:val="18"/>
        </w:rPr>
        <w:t>Andersén Å et al.  ·  BMC Health Serv Res  ·  27.10.2026  ·  PMID 42947172</w:t>
      </w:r>
    </w:p>
    <w:p>
      <w:r>
        <w:t>Qualitative deskriptive Studie in Schweden mit 12 psychiatrischen Fachkräften untersuchte ihre Erfahrungen mit Rehabilitations-Koordinatoren für Vokationsrehabilitation.</w:t>
      </w:r>
    </w:p>
    <w:p>
      <w:r>
        <w:rPr>
          <w:b/>
        </w:rPr>
        <w:t xml:space="preserve">Ergebnis: </w:t>
      </w:r>
      <w:r>
        <w:t>Zwei Hauptthemen: (1) RC verbessert Fokus und Koordination von Vokationsrehabilitation und entlastet Fachkräfte; (2) Unsicherheit über Rollen und Verantwortlichkeiten entstand. Fachkräfte berichteten, dass ihnen Zeit und Wissen für Vokationsrehabilitation fehlten; RC-Funktion war wertvoll für besseres Arbeitsumfeld.</w:t>
      </w:r>
    </w:p>
    <w:p>
      <w:r>
        <w:rPr>
          <w:b/>
          <w:sz w:val="19"/>
        </w:rPr>
        <w:t xml:space="preserve">Übertragbarkeit: </w:t>
      </w:r>
      <w:r>
        <w:rPr>
          <w:sz w:val="19"/>
        </w:rPr>
        <w:t>Skandinavien, ähnliches Versorgungsmodell – Koordinations- und Spezialisierungseffekte übertragbar.</w:t>
      </w:r>
    </w:p>
    <w:p>
      <w:r>
        <w:rPr>
          <w:color w:val="5A7D3A"/>
          <w:sz w:val="18"/>
        </w:rPr>
        <w:t>https://pubmed.ncbi.nlm.nih.gov/42947172/</w:t>
      </w:r>
    </w:p>
    <w:p>
      <w:pPr>
        <w:pStyle w:val="Heading2"/>
      </w:pPr>
      <w:r>
        <w:t>Bildung und Nudging erhöhen TENS-Nutzung postoperativ</w:t>
      </w:r>
    </w:p>
    <w:p>
      <w:r>
        <w:rPr>
          <w:i/>
          <w:color w:val="666666"/>
          <w:sz w:val="18"/>
        </w:rPr>
        <w:t>Diwan S et al.  ·  BMC Health Serv Res  ·  27.10.2026  ·  PMID 42947110</w:t>
      </w:r>
    </w:p>
    <w:p>
      <w:r>
        <w:t>Quasi-experimentelle Studie an schwedischem Universitätsklinikum untersuchte, ob kurze Schulung plus visuelle Nudges die Anwendung von TENS (transkutane Nervenstimulation) in der postoperativen Schmerzbehandlung erhöhen.</w:t>
      </w:r>
    </w:p>
    <w:p>
      <w:r>
        <w:rPr>
          <w:b/>
        </w:rPr>
        <w:t xml:space="preserve">Ergebnis: </w:t>
      </w:r>
      <w:r>
        <w:t>TENS-Anwendungen stiegen signifikant nach den Interventionen gegenüber Baseline (konkrete Zahlen im Logbuch dokumentiert). Qualitative Befunde zeigten, dass TENS von einer peripheren Option zu integrierten Schmerzbehandlungskomponente reframed wurde; Nudging normalisierte TENS-Nutzung und trug zur frühen Routinisierung bei.</w:t>
      </w:r>
    </w:p>
    <w:p>
      <w:r>
        <w:rPr>
          <w:b/>
          <w:sz w:val="19"/>
        </w:rPr>
        <w:t xml:space="preserve">Übertragbarkeit: </w:t>
      </w:r>
      <w:r>
        <w:rPr>
          <w:sz w:val="19"/>
        </w:rPr>
        <w:t>Skandinavien, steuerfinanziertes System – aber Prozessoptimierung und Qualitätsmessungen sind übertragbar.</w:t>
      </w:r>
    </w:p>
    <w:p>
      <w:r>
        <w:rPr>
          <w:color w:val="5A7D3A"/>
          <w:sz w:val="18"/>
        </w:rPr>
        <w:t>https://pubmed.ncbi.nlm.nih.gov/42947110/</w:t>
      </w:r>
    </w:p>
    <w:p>
      <w:pPr>
        <w:pStyle w:val="Heading2"/>
      </w:pPr>
      <w:r>
        <w:t>Häusliche Primärversorgung für Ältere in Korea: Praxisdefizite und Schulungsbedarf</w:t>
      </w:r>
    </w:p>
    <w:p>
      <w:r>
        <w:rPr>
          <w:i/>
          <w:color w:val="666666"/>
          <w:sz w:val="18"/>
        </w:rPr>
        <w:t>Cho E et al.  ·  J Korean Med Sci  ·  26.10.2026  ·  PMID 42936977</w:t>
      </w:r>
    </w:p>
    <w:p>
      <w:r>
        <w:t>Nationale Querschnittserhebung in Südkorea erfasste 2024 Praxis, Kompetenzen und Schulungsbedarf von Anbietern des HBPC-LTC-Programms (seit 2022).</w:t>
      </w:r>
    </w:p>
    <w:p>
      <w:r>
        <w:rPr>
          <w:b/>
        </w:rPr>
        <w:t xml:space="preserve">Ergebnis: </w:t>
      </w:r>
      <w:r>
        <w:t>57 von 95 zertifizierten Zentren (60,0 %) antworteten. Mehrheit sind private Kliniken; öffentliche Teilnahme begrenzt. Dienstleistungen konzentrieren sich auf Verschreibung, Konsultationen und Wundbehandlung. Schwierigkeiten: Personalbesetzung, Patientenakquisition, Systemkoordination. Fortbildungsbedarf für multidisziplinäre und praxisorientierte Schulung weit verbreitet.</w:t>
      </w:r>
    </w:p>
    <w:p>
      <w:r>
        <w:rPr>
          <w:b/>
          <w:sz w:val="19"/>
        </w:rPr>
        <w:t xml:space="preserve">Übertragbarkeit: </w:t>
      </w:r>
      <w:r>
        <w:rPr>
          <w:sz w:val="19"/>
        </w:rPr>
        <w:t>Südkorea, nur bedingt übertragbar – anderer Gesundheitskontext; aber organisatorische Implementierungshürden systemübergreifend relevant.</w:t>
      </w:r>
    </w:p>
    <w:p>
      <w:r>
        <w:rPr>
          <w:color w:val="5A7D3A"/>
          <w:sz w:val="18"/>
        </w:rPr>
        <w:t>https://pubmed.ncbi.nlm.nih.gov/42936977/</w:t>
      </w:r>
    </w:p>
    <w:p>
      <w:pPr>
        <w:pStyle w:val="Heading2"/>
      </w:pPr>
      <w:r>
        <w:t>Systemische Barrieren für Sturzprävention in der Gemeinde in Singapur</w:t>
      </w:r>
    </w:p>
    <w:p>
      <w:r>
        <w:rPr>
          <w:i/>
          <w:color w:val="666666"/>
          <w:sz w:val="18"/>
        </w:rPr>
        <w:t>Lim CWH et al.  ·  Front Public Health  ·  12.10.2026  ·  PMID 42936074</w:t>
      </w:r>
    </w:p>
    <w:p>
      <w:r>
        <w:t>Qualitative Studie mit 14 Managementvertretern aus 7 Anbietern von Integrated Community Care in Singapur nutzte Theory of Constraints zur Wurzelursachenanalyse von Umsetzungshindernissen.</w:t>
      </w:r>
    </w:p>
    <w:p>
      <w:r>
        <w:rPr>
          <w:b/>
        </w:rPr>
        <w:t xml:space="preserve">Ergebnis: </w:t>
      </w:r>
      <w:r>
        <w:t>Kernproblem: anhaltende vermeidbare Verletzungsstürze. Identifizierte Ursachen: (1) kein systematischer Aufwand zur Information älterer Menschen; (2) mangelnde Schulungsressourcen bei Anbietern; (3) unzureichende Finanzierung; (4) fehlende formale und informale Daten zur Nachfrage; (5) hohe Kosten für Programme. Drei Systemlücken: Informationslücke, Ressourcen-/Kapazitätslücke, ökonomische Lücke.</w:t>
      </w:r>
    </w:p>
    <w:p>
      <w:r>
        <w:rPr>
          <w:b/>
          <w:sz w:val="19"/>
        </w:rPr>
        <w:t xml:space="preserve">Übertragbarkeit: </w:t>
      </w:r>
      <w:r>
        <w:rPr>
          <w:sz w:val="19"/>
        </w:rPr>
        <w:t>Singapur, Informations- und Ressourcendefizite in Versorgungssystemen systemunabhängig relevant.</w:t>
      </w:r>
    </w:p>
    <w:p>
      <w:r>
        <w:rPr>
          <w:color w:val="5A7D3A"/>
          <w:sz w:val="18"/>
        </w:rPr>
        <w:t>https://pubmed.ncbi.nlm.nih.gov/42936074/</w:t>
      </w:r>
    </w:p>
    <w:p>
      <w:pPr>
        <w:pStyle w:val="Heading1"/>
      </w:pPr>
      <w:r>
        <w:t>Aufgenommen am 28.10.2026</w:t>
      </w:r>
    </w:p>
    <w:p>
      <w:pPr>
        <w:pStyle w:val="Heading2"/>
      </w:pPr>
      <w:r>
        <w:t>Ungleichheiten bei Krebsfrüherkennung und Diagnosestadium bei psychischen Erkrankungen</w:t>
      </w:r>
    </w:p>
    <w:p>
      <w:r>
        <w:rPr>
          <w:i/>
          <w:color w:val="666666"/>
          <w:sz w:val="18"/>
        </w:rPr>
        <w:t>Wang YH et al.  ·  PLoS One  ·  27.10.2026  ·  PMID 42945295</w:t>
      </w:r>
    </w:p>
    <w:p>
      <w:r>
        <w:t>Populationsbasierte Kohortenstudie zu Screening-Teilnahme und Diagnosestadium bei Brust- und Darmkrebs für Personen mit vs. ohne psychischen Erkrankungen in Taiwan.</w:t>
      </w:r>
    </w:p>
    <w:p>
      <w:r>
        <w:rPr>
          <w:b/>
        </w:rPr>
        <w:t xml:space="preserve">Ergebnis: </w:t>
      </w:r>
      <w:r>
        <w:t>Bei allgemeiner psychischer Erkrankung: höhere Screening-Teilnahme (aOR 1,04-1,12) und reduzierte Odds für metastasierten Krebs (aOR 0,72-0,93). Bei schwerer psychischer Erkrankung: niedrigere Screening-Odds (aOR 0,81-0,88) trotz hohem ambulantem Nutzungsgrad.</w:t>
      </w:r>
    </w:p>
    <w:p>
      <w:r>
        <w:rPr>
          <w:b/>
          <w:sz w:val="19"/>
        </w:rPr>
        <w:t xml:space="preserve">Übertragbarkeit: </w:t>
      </w:r>
      <w:r>
        <w:rPr>
          <w:sz w:val="19"/>
        </w:rPr>
        <w:t>Nur bedingt: universales Gesundheitssystem, andere Zugangssteuerung als Deutschland</w:t>
      </w:r>
    </w:p>
    <w:p>
      <w:r>
        <w:rPr>
          <w:color w:val="5A7D3A"/>
          <w:sz w:val="18"/>
        </w:rPr>
        <w:t>https://pubmed.ncbi.nlm.nih.gov/42945295/</w:t>
      </w:r>
    </w:p>
    <w:p>
      <w:pPr>
        <w:pStyle w:val="Heading2"/>
      </w:pPr>
      <w:r>
        <w:t>Kostenwirksamkeit empfohlener Interventionen zur Behandlung von Kreuzschmerzen</w:t>
      </w:r>
    </w:p>
    <w:p>
      <w:r>
        <w:rPr>
          <w:i/>
          <w:color w:val="666666"/>
          <w:sz w:val="18"/>
        </w:rPr>
        <w:t>Mathieson S et al.  ·  PLoS Med  ·  27.10.2026  ·  PMID 42945153</w:t>
      </w:r>
    </w:p>
    <w:p>
      <w:r>
        <w:t>Systematischer Review zur Kosteneffektivität nichtmedikamentöser, nichtchirurgischer Interventionen für Kreuzschmerzen im Vergleich zu standardmäßiger Versorgung.</w:t>
      </w:r>
    </w:p>
    <w:p>
      <w:r>
        <w:rPr>
          <w:b/>
        </w:rPr>
        <w:t xml:space="preserve">Ergebnis: </w:t>
      </w:r>
      <w:r>
        <w:t>Die meisten Interventionen gelten bei einer Zahlungsbereitschaft von £20.000 pro QALY als kosteneffektiv. Psychologische Unterstützung, Yoga, Akupunktur und Self-Management-Support sind potenziell kostenersparend (gleichzeitig wirksamer und günstiger als Standardversorgung).</w:t>
      </w:r>
    </w:p>
    <w:p>
      <w:r>
        <w:rPr>
          <w:b/>
          <w:sz w:val="19"/>
        </w:rPr>
        <w:t xml:space="preserve">Übertragbarkeit: </w:t>
      </w:r>
      <w:r>
        <w:rPr>
          <w:sz w:val="19"/>
        </w:rPr>
        <w:t>Hocheinkommensländer, begrenzte Evidenz aus Niedrig- und Mittellohnländern</w:t>
      </w:r>
    </w:p>
    <w:p>
      <w:r>
        <w:rPr>
          <w:color w:val="5A7D3A"/>
          <w:sz w:val="18"/>
        </w:rPr>
        <w:t>https://pubmed.ncbi.nlm.nih.gov/42945153/</w:t>
      </w:r>
    </w:p>
    <w:p>
      <w:pPr>
        <w:pStyle w:val="Heading2"/>
      </w:pPr>
      <w:r>
        <w:t>Aktivitäten des täglichen Lebens nach verkürzter stationärer Geriatrischer Rehabilitation durch Home-Care</w:t>
      </w:r>
    </w:p>
    <w:p>
      <w:r>
        <w:rPr>
          <w:i/>
          <w:color w:val="666666"/>
          <w:sz w:val="18"/>
        </w:rPr>
        <w:t>Gamble CJ et al.  ·  Eur Geriatr Med  ·  27.10.2026  ·  PMID 42945046</w:t>
      </w:r>
    </w:p>
    <w:p>
      <w:r>
        <w:t>Prospektive Kohortenstudie zur Aktivitätsunabhängigkeit nach strukturiertem Home-based geriatric rehabilitation (Better@Home) versus konventioneller stationärer Rehabilitation bei älteren Patienten.</w:t>
      </w:r>
    </w:p>
    <w:p>
      <w:r>
        <w:rPr>
          <w:b/>
        </w:rPr>
        <w:t xml:space="preserve">Ergebnis: </w:t>
      </w:r>
      <w:r>
        <w:t>Keine signifikanten Unterschiede zwischen Better@Home und Kontrolle bei der Aktivitätsunabhängigkeit (Barthel-Index): mittlere Differenz 0,48 Punkte (95%-KI -0,323-1,282; p=0,240). Strukturiertes Home-based Programm erzielte vergleichbare Ergebnisse zu stationärer Rehabilitation.</w:t>
      </w:r>
    </w:p>
    <w:p>
      <w:r>
        <w:rPr>
          <w:b/>
          <w:sz w:val="19"/>
        </w:rPr>
        <w:t xml:space="preserve">Übertragbarkeit: </w:t>
      </w:r>
      <w:r>
        <w:rPr>
          <w:sz w:val="19"/>
        </w:rPr>
        <w:t>Niederlande, vergleichbares Sozialversicherungssystem und Gesundheitswesen</w:t>
      </w:r>
    </w:p>
    <w:p>
      <w:r>
        <w:rPr>
          <w:color w:val="5A7D3A"/>
          <w:sz w:val="18"/>
        </w:rPr>
        <w:t>https://pubmed.ncbi.nlm.nih.gov/42945046/</w:t>
      </w:r>
    </w:p>
    <w:p>
      <w:pPr>
        <w:pStyle w:val="Heading2"/>
      </w:pPr>
      <w:r>
        <w:t>Alleinleben und Mortalität: Ursachen-spezifische Analyse in USA</w:t>
      </w:r>
    </w:p>
    <w:p>
      <w:r>
        <w:rPr>
          <w:i/>
          <w:color w:val="666666"/>
          <w:sz w:val="18"/>
        </w:rPr>
        <w:t>Lee H et al.  ·  Int J Epidemiol  ·  14.10.2026  ·  PMID 42937267</w:t>
      </w:r>
    </w:p>
    <w:p>
      <w:r>
        <w:t>Nationale Kohortenstudie (NHIS-NDI 1998-2019) zur Assoziation zwischen Alleinleben und Mortalität nach Todesursachen bei US-Erwachsenen.</w:t>
      </w:r>
    </w:p>
    <w:p>
      <w:r>
        <w:rPr>
          <w:b/>
        </w:rPr>
        <w:t xml:space="preserve">Ergebnis: </w:t>
      </w:r>
      <w:r>
        <w:t>Alleinlebende Erwachsene (18-64 Jahre): höhere Gesamtmortalität (HR 1,22), Herzerkrankungen (HR 1,41), Suizid (HR 1,58) und Verletzungen (HR 1,27). Soziodemografische und Gesundheitsfaktoren erklärten 57,1 % der Differenz (18-64 Jahre) bzw. 85,4 % (≥65 Jahre).</w:t>
      </w:r>
    </w:p>
    <w:p>
      <w:r>
        <w:rPr>
          <w:b/>
          <w:sz w:val="19"/>
        </w:rPr>
        <w:t xml:space="preserve">Übertragbarkeit: </w:t>
      </w:r>
      <w:r>
        <w:rPr>
          <w:sz w:val="19"/>
        </w:rPr>
        <w:t>US-Daten – Fragestellung aber systemunabhängig bezüglich Patientensicherheit</w:t>
      </w:r>
    </w:p>
    <w:p>
      <w:r>
        <w:rPr>
          <w:color w:val="5A7D3A"/>
          <w:sz w:val="18"/>
        </w:rPr>
        <w:t>https://pubmed.ncbi.nlm.nih.gov/42937267/</w:t>
      </w:r>
    </w:p>
    <w:p>
      <w:pPr>
        <w:pStyle w:val="Heading2"/>
      </w:pPr>
      <w:r>
        <w:t>Prädiktoren für Therapieabbruch und Ansprechen bei Psoriasis-Arthritis</w:t>
      </w:r>
    </w:p>
    <w:p>
      <w:r>
        <w:rPr>
          <w:i/>
          <w:color w:val="666666"/>
          <w:sz w:val="18"/>
        </w:rPr>
        <w:t>Rotariu O et al.  ·  Rheumatology (Oxford)  ·  27.10.2026  ·  PMID 42937132</w:t>
      </w:r>
    </w:p>
    <w:p>
      <w:r>
        <w:t>Register-basierte Kohortenstudie zu Prädiktoren für Diskontinuation und 12-Monats-Behandlungsansprechen bei biologischen/zielgerichteten synthetischen DMARDs bei Psoriasis-Arthritis.</w:t>
      </w:r>
    </w:p>
    <w:p>
      <w:r>
        <w:rPr>
          <w:b/>
        </w:rPr>
        <w:t xml:space="preserve">Ergebnis: </w:t>
      </w:r>
      <w:r>
        <w:t>815 Teilnehmer: 65 % verblieben bei Indextherapie (Median 31 Monate); Abbruch hauptsächlich wegen Unwirksamkeit (55 %) oder Unverträglichkeit (26 %). PDE4-Inhibitoren zeigten 2,25-fach erhöhtes Abbruchrisiko vs. TNF-Inhibitoren. Nur 24 % erreichten minimale Krankheitsaktivität, Männer und jüngere Patienten hatten bessere Chancen.</w:t>
      </w:r>
    </w:p>
    <w:p>
      <w:r>
        <w:rPr>
          <w:b/>
          <w:sz w:val="19"/>
        </w:rPr>
        <w:t xml:space="preserve">Übertragbarkeit: </w:t>
      </w:r>
      <w:r>
        <w:rPr>
          <w:sz w:val="19"/>
        </w:rPr>
        <w:t>Großbritannien, vergleichbar mit Deutschland bezüglich Versorgungsstrukturen</w:t>
      </w:r>
    </w:p>
    <w:p>
      <w:r>
        <w:rPr>
          <w:color w:val="5A7D3A"/>
          <w:sz w:val="18"/>
        </w:rPr>
        <w:t>https://pubmed.ncbi.nlm.nih.gov/42937132/</w:t>
      </w:r>
    </w:p>
    <w:p>
      <w:pPr>
        <w:pStyle w:val="Heading2"/>
      </w:pPr>
      <w:r>
        <w:t>Kommunikations- und finanzielle Barrieren beim Gesundheitszugang von Migranten in Deutschland</w:t>
      </w:r>
    </w:p>
    <w:p>
      <w:r>
        <w:rPr>
          <w:i/>
          <w:color w:val="666666"/>
          <w:sz w:val="18"/>
        </w:rPr>
        <w:t>Goerigk L et al.  ·  BMC Health Serv Res  ·  24.10.2026  ·  PMID 42934686</w:t>
      </w:r>
    </w:p>
    <w:p>
      <w:r>
        <w:t>Querschnittsstudie zu Faktoren, die mit Kommunikations- und Finanzbarrieren beim Gesundheitszugang bei Migranten mit kroatischer, italienischer, polnischer, syrischer oder türkischer Staatsangehörigkeit in Deutschland assoziiert sind.</w:t>
      </w:r>
    </w:p>
    <w:p>
      <w:r>
        <w:rPr>
          <w:b/>
        </w:rPr>
        <w:t xml:space="preserve">Ergebnis: </w:t>
      </w:r>
      <w:r>
        <w:t>Von 6.038 Teilnehmern: 16,2 % berichteten Kommunikationsbarrieren, 9,0 % Finanzbarrieren. Assoziationen mit Geschlecht, Alter, Deutschkenntnissen, Rassismuserfahrungen (Kommunikation) sowie Geschlecht, Bildung, Diskriminierungserfahrungen (Finanzen). Geschlecht und Diskriminierungserfahrung korreliert mit beiden Barrierentypen.</w:t>
      </w:r>
    </w:p>
    <w:p>
      <w:r>
        <w:rPr>
          <w:b/>
          <w:sz w:val="19"/>
        </w:rPr>
        <w:t xml:space="preserve">Übertragbarkeit: </w:t>
      </w:r>
      <w:r>
        <w:rPr>
          <w:sz w:val="19"/>
        </w:rPr>
        <w:t>Deutsche Routinedaten, gesetzlich Versicherte mit Migrationshintergrund</w:t>
      </w:r>
    </w:p>
    <w:p>
      <w:r>
        <w:rPr>
          <w:color w:val="5A7D3A"/>
          <w:sz w:val="18"/>
        </w:rPr>
        <w:t>https://pubmed.ncbi.nlm.nih.gov/42934686/</w:t>
      </w:r>
    </w:p>
    <w:p>
      <w:pPr>
        <w:pStyle w:val="Heading1"/>
      </w:pPr>
      <w:r>
        <w:t>Aufgenommen am 27.10.2026</w:t>
      </w:r>
    </w:p>
    <w:p>
      <w:pPr>
        <w:pStyle w:val="Heading2"/>
      </w:pPr>
      <w:r>
        <w:t>SGLT2-Inhibitoren bei Herzinsuffizienz: frühe Gabe senkt Mortalität</w:t>
      </w:r>
    </w:p>
    <w:p>
      <w:r>
        <w:rPr>
          <w:i/>
          <w:color w:val="666666"/>
          <w:sz w:val="18"/>
        </w:rPr>
        <w:t>Mkoma GF et al.  ·  Eur Heart J Cardiovasc Pharmacother  ·  26.10.2026  ·  PMID 42933869</w:t>
      </w:r>
    </w:p>
    <w:p>
      <w:r>
        <w:t>Dänische Registeranalyse zur Auswirkung einer frühen SGLT2-Inhibitor-Initiierung (≤30 Tage nach HFrEF-Diagnose) auf die Einjahres-Mortalität und HF-Hospitalisierung.</w:t>
      </w:r>
    </w:p>
    <w:p>
      <w:r>
        <w:rPr>
          <w:b/>
        </w:rPr>
        <w:t xml:space="preserve">Ergebnis: </w:t>
      </w:r>
      <w:r>
        <w:t>Unter 10.346 Patienten mit neu diagnostizierter HFrEF erhielten 31,6% SGLT2i innerhalb 30 Tagen. Ein-Jahres-Mortalität: 2,2% (SGLT2i) vs. 3,1% (Kontrolle); Risikodifferenz -1,1 Prozentpunkte (95% KI: -2,0 bis -0,2). HF-Hospitalisierung: Risikodifferenz -3,4 Prozentpunkte (95% KI: -3,9 bis -2,9). Frühe Initiation zeigte klinisch relevante Mortalitätsvorteil.</w:t>
      </w:r>
    </w:p>
    <w:p>
      <w:r>
        <w:rPr>
          <w:b/>
          <w:sz w:val="19"/>
        </w:rPr>
        <w:t xml:space="preserve">Übertragbarkeit: </w:t>
      </w:r>
      <w:r>
        <w:rPr>
          <w:sz w:val="19"/>
        </w:rPr>
        <w:t>Dänische Routinedaten, vergleichbare Sozialversicherungsstruktur und Versorgung wie Deutschland.</w:t>
      </w:r>
    </w:p>
    <w:p>
      <w:r>
        <w:rPr>
          <w:color w:val="5A7D3A"/>
          <w:sz w:val="18"/>
        </w:rPr>
        <w:t>https://pubmed.ncbi.nlm.nih.gov/42933869/</w:t>
      </w:r>
    </w:p>
    <w:p>
      <w:pPr>
        <w:pStyle w:val="Heading2"/>
      </w:pPr>
      <w:r>
        <w:t>Schema-Therapie bei Cluster-C-Persönlichkeitsstörungen: Multizenter-RCT</w:t>
      </w:r>
    </w:p>
    <w:p>
      <w:r>
        <w:rPr>
          <w:i/>
          <w:color w:val="666666"/>
          <w:sz w:val="18"/>
        </w:rPr>
        <w:t>Venhuizen ASM et al.  ·  BMJ Ment Health  ·  26.10.2026  ·  PMID 42933862</w:t>
      </w:r>
    </w:p>
    <w:p>
      <w:r>
        <w:t>Niederländische Multizenter-RCT verglich verschiedene Schema-Therapie-Formate bei Cluster-C-Persönlichkeitsstörungen bezüglich Effektivität und Kosteneffektivität.</w:t>
      </w:r>
    </w:p>
    <w:p>
      <w:r>
        <w:rPr>
          <w:b/>
        </w:rPr>
        <w:t xml:space="preserve">Ergebnis: </w:t>
      </w:r>
      <w:r>
        <w:t>Eingeschlossene Patienten mit Cluster-C-Persönlichkeitsstörungen. Schema-Therapie zeigte Wirksamkeit mit konsistenten Effekten über verschiedene Formate hinweg. Die Studie dokumentiert, dass strukturierte Therapieformate in speziellen Behandlungszentren implementierbar sind und vergleichbare Outcomes erreichen.</w:t>
      </w:r>
    </w:p>
    <w:p>
      <w:r>
        <w:rPr>
          <w:b/>
          <w:sz w:val="19"/>
        </w:rPr>
        <w:t xml:space="preserve">Übertragbarkeit: </w:t>
      </w:r>
      <w:r>
        <w:rPr>
          <w:sz w:val="19"/>
        </w:rPr>
        <w:t>Niederlande, vergleichbares Sozialversicherungssystem und spezialisiertes psychologisches Versorgungssetting.</w:t>
      </w:r>
    </w:p>
    <w:p>
      <w:r>
        <w:rPr>
          <w:color w:val="5A7D3A"/>
          <w:sz w:val="18"/>
        </w:rPr>
        <w:t>https://pubmed.ncbi.nlm.nih.gov/42933862/</w:t>
      </w:r>
    </w:p>
    <w:p>
      <w:pPr>
        <w:pStyle w:val="Heading2"/>
      </w:pPr>
      <w:r>
        <w:t>Bettenauslastung und Abstände zwischen Patienten: Einflussfaktoren und Praktiken</w:t>
      </w:r>
    </w:p>
    <w:p>
      <w:r>
        <w:rPr>
          <w:i/>
          <w:color w:val="666666"/>
          <w:sz w:val="18"/>
        </w:rPr>
        <w:t>Linder W et al.  ·  BMJ Open  ·  26.10.2026  ·  PMID 42933831</w:t>
      </w:r>
    </w:p>
    <w:p>
      <w:r>
        <w:t>Schwedische Multizenter-Kohortenstudie untersuchte, wie Bettenauslastung und Patientenmerkmale die Abstandshaltung zwischen Patienten in Krankenhäusern beeinflussen.</w:t>
      </w:r>
    </w:p>
    <w:p>
      <w:r>
        <w:rPr>
          <w:b/>
        </w:rPr>
        <w:t xml:space="preserve">Ergebnis: </w:t>
      </w:r>
      <w:r>
        <w:t>Die Studie analysiert systematisch beschreibend Bettenabstandspraktiken in Abhängigkeit von Auslastung und Patientenmerkamlen. Erhöhte Auslastung korrelierte mit reduzierten Abständen; Infektionspräventionsvorgaben wurden nicht konsistent eingehalten. Die Ergebnisse demonstrieren Lücken zwischen formalen Standards und Routinepraxis.</w:t>
      </w:r>
    </w:p>
    <w:p>
      <w:r>
        <w:rPr>
          <w:b/>
          <w:sz w:val="19"/>
        </w:rPr>
        <w:t xml:space="preserve">Übertragbarkeit: </w:t>
      </w:r>
      <w:r>
        <w:rPr>
          <w:sz w:val="19"/>
        </w:rPr>
        <w:t>Skandinavien, steuerfinanziertes System; Prozessqualität und Patientensicherheit aber übertragbar.</w:t>
      </w:r>
    </w:p>
    <w:p>
      <w:r>
        <w:rPr>
          <w:color w:val="5A7D3A"/>
          <w:sz w:val="18"/>
        </w:rPr>
        <w:t>https://pubmed.ncbi.nlm.nih.gov/42933831/</w:t>
      </w:r>
    </w:p>
    <w:p>
      <w:pPr>
        <w:pStyle w:val="Heading2"/>
      </w:pPr>
      <w:r>
        <w:t>Kreatives Interview mit Kindern: Performance-basiertes Engagement in Gesundheitsforschung</w:t>
      </w:r>
    </w:p>
    <w:p>
      <w:r>
        <w:rPr>
          <w:i/>
          <w:color w:val="666666"/>
          <w:sz w:val="18"/>
        </w:rPr>
        <w:t>Treadgold C et al.  ·  Health Expect  ·  Okt. 2026  ·  PMID 42929487</w:t>
      </w:r>
    </w:p>
    <w:p>
      <w:r>
        <w:t>Australische qualitative Methodenstudie evaluierte einen innovativen, spielerischen Interviewansatz mit professionellen Performern, um Kinder in Gesundheitsforschung zu Patient-Reported Experience Measures einzubeziehen.</w:t>
      </w:r>
    </w:p>
    <w:p>
      <w:r>
        <w:rPr>
          <w:b/>
        </w:rPr>
        <w:t xml:space="preserve">Ergebnis: </w:t>
      </w:r>
      <w:r>
        <w:t>Der Ansatz mit geschulten Performern (‚Captain Starlight') ermöglichte kindzentrierte, flexible Interaktionen, die Engagement und Offenheit förderten. Kinder konnten ihre Perspektiven auf Krankenhauserfahrungen authentischer artikulieren als in traditionellen Interviews. Herausforderungen waren Balancieren zwischen Charakterimmersion und Datenerfassung sowie Consent-Navigieren. Die Methode erwies sich als transferierbar für unterschiedliche Forschungskontexte mit Kindern.</w:t>
      </w:r>
    </w:p>
    <w:p>
      <w:r>
        <w:rPr>
          <w:b/>
          <w:sz w:val="19"/>
        </w:rPr>
        <w:t xml:space="preserve">Übertragbarkeit: </w:t>
      </w:r>
      <w:r>
        <w:rPr>
          <w:sz w:val="19"/>
        </w:rPr>
        <w:t>Australien; Methodische Innovationen für kindzentrierte Forschung sind systemunabhängig wertvoll.</w:t>
      </w:r>
    </w:p>
    <w:p>
      <w:r>
        <w:rPr>
          <w:color w:val="5A7D3A"/>
          <w:sz w:val="18"/>
        </w:rPr>
        <w:t>https://pubmed.ncbi.nlm.nih.gov/42929487/</w:t>
      </w:r>
    </w:p>
    <w:p>
      <w:pPr>
        <w:pStyle w:val="Heading2"/>
      </w:pPr>
      <w:r>
        <w:t>Multidisziplinarität in Tumorkonferenzen: deutsche Krebszentren</w:t>
      </w:r>
    </w:p>
    <w:p>
      <w:r>
        <w:rPr>
          <w:i/>
          <w:color w:val="666666"/>
          <w:sz w:val="18"/>
        </w:rPr>
        <w:t>Rother J et al.  ·  J Multidiscip Healthc  ·  21.10.2026  ·  PMID 42928752</w:t>
      </w:r>
    </w:p>
    <w:p>
      <w:r>
        <w:t>Deutsche Observationsstudie analysierte die tatsächliche Multidisziplinarität von Tumorkonferenzen an 6 deutschen Krebszentren in Bezug auf Anwesenheit und aktive Beteiligung verschiedener Fachgruppen.</w:t>
      </w:r>
    </w:p>
    <w:p>
      <w:r>
        <w:rPr>
          <w:b/>
        </w:rPr>
        <w:t xml:space="preserve">Ergebnis: </w:t>
      </w:r>
      <w:r>
        <w:t>Kerntean (Senologie, Radiologie, Pathologie, Onkologie) war in 54% der Fälle unvollständig. Psychoonkologie und Pflege fehlten häufig oder beteiligten sich minimal. In 28% der Fallbesprechungen sprach nur eine Person. Erhebliche Varianz zwischen den 6 Zentren. Formale Multidisziplinaritätsanforderungen werden in der Routinepraxis nicht konsistent umgesetzt.</w:t>
      </w:r>
    </w:p>
    <w:p>
      <w:r>
        <w:rPr>
          <w:b/>
          <w:sz w:val="19"/>
        </w:rPr>
        <w:t xml:space="preserve">Übertragbarkeit: </w:t>
      </w:r>
      <w:r>
        <w:rPr>
          <w:sz w:val="19"/>
        </w:rPr>
        <w:t>Deutsche Daten, direkt auf deutsches Versorgungssystem anwendbar, zertifizierte Krebszentren.</w:t>
      </w:r>
    </w:p>
    <w:p>
      <w:r>
        <w:rPr>
          <w:color w:val="5A7D3A"/>
          <w:sz w:val="18"/>
        </w:rPr>
        <w:t>https://pubmed.ncbi.nlm.nih.gov/42928752/</w:t>
      </w:r>
    </w:p>
    <w:p>
      <w:pPr>
        <w:pStyle w:val="Heading2"/>
      </w:pPr>
      <w:r>
        <w:t>Nationale Implementierung web-basiertes Diabetes-Selbstmanagement in Großbritannien</w:t>
      </w:r>
    </w:p>
    <w:p>
      <w:r>
        <w:rPr>
          <w:i/>
          <w:color w:val="666666"/>
          <w:sz w:val="18"/>
        </w:rPr>
        <w:t>Cotterill S et al.  ·  Diabet Med  ·  25.10.2026  ·  PMID 42928587</w:t>
      </w:r>
    </w:p>
    <w:p>
      <w:r>
        <w:t>UK-Synthese der Evaluationsergebnisse zur nationalen Implementierung von ‚Healthy Living', einem webgestützten Selbstmanagement- und Schulungsprogramm für Typ-2-Diabetes in England.</w:t>
      </w:r>
    </w:p>
    <w:p>
      <w:r>
        <w:rPr>
          <w:b/>
        </w:rPr>
        <w:t xml:space="preserve">Ergebnis: </w:t>
      </w:r>
      <w:r>
        <w:t>Healthy Living zeigte bescheidene Effektivität: HbA1c-Senkung um 1 mmol/mol (95% KI: -2 bis -1) bzw. -0,1% (95% KI: -0,2% bis -0,1%) nach 1 Jahr vs. Routine. Variabilität in Inanspruchnahme und Retention; Kosten-Effektivität bestätigt. Programm war für Minderheiten und benachteiligte Bevölkerungsgruppen unterrepräsentiert.</w:t>
      </w:r>
    </w:p>
    <w:p>
      <w:r>
        <w:rPr>
          <w:b/>
          <w:sz w:val="19"/>
        </w:rPr>
        <w:t xml:space="preserve">Übertragbarkeit: </w:t>
      </w:r>
      <w:r>
        <w:rPr>
          <w:sz w:val="19"/>
        </w:rPr>
        <w:t>Großbritannien, steuerfinanziertes System; Prozesse und Patientenperspektive aber übertragbar.</w:t>
      </w:r>
    </w:p>
    <w:p>
      <w:r>
        <w:rPr>
          <w:color w:val="5A7D3A"/>
          <w:sz w:val="18"/>
        </w:rPr>
        <w:t>https://pubmed.ncbi.nlm.nih.gov/42928587/</w:t>
      </w:r>
    </w:p>
    <w:p>
      <w:pPr>
        <w:pStyle w:val="Heading1"/>
      </w:pPr>
      <w:r>
        <w:t>Aufgenommen am 26.10.2026</w:t>
      </w:r>
    </w:p>
    <w:p>
      <w:pPr>
        <w:pStyle w:val="Heading2"/>
      </w:pPr>
      <w:r>
        <w:t>Lebensraum stärker mit Gesundheit assoziiert als körperliche Aktivität</w:t>
      </w:r>
    </w:p>
    <w:p>
      <w:r>
        <w:rPr>
          <w:i/>
          <w:color w:val="666666"/>
          <w:sz w:val="18"/>
        </w:rPr>
        <w:t>Lin S et al.  ·  Prev Med Rep  ·  10.10.2026  ·  PMID 42927076</w:t>
      </w:r>
    </w:p>
    <w:p>
      <w:r>
        <w:t>Querschnittsstudie mit 1.118 älteren Singapurer (≥50 Jahre) verglich Life Space und körperliche Aktivität als Prädiktoren für selbstbewertete Gesundheit und physische Leistung.</w:t>
      </w:r>
    </w:p>
    <w:p>
      <w:r>
        <w:rPr>
          <w:b/>
        </w:rPr>
        <w:t xml:space="preserve">Ergebnis: </w:t>
      </w:r>
      <w:r>
        <w:t>Life Space war ein stärkerer Prädiktor und zeigte direkte und indirekte Effekte auf selbstbewertete Gesundheit, während körperliche Aktivität nur indirekte Effekte via physische Leistung aufwies. Strukturelle Regression unterstützte die Überlegenheit des Life-Space-Konzepts.</w:t>
      </w:r>
    </w:p>
    <w:p>
      <w:r>
        <w:rPr>
          <w:b/>
          <w:sz w:val="19"/>
        </w:rPr>
        <w:t xml:space="preserve">Übertragbarkeit: </w:t>
      </w:r>
      <w:r>
        <w:rPr>
          <w:sz w:val="19"/>
        </w:rPr>
        <w:t>Singapur, vergleichbare Alterspopulation; Fragestellung systemunabhängig für Prävention von Funktionsverlust bei älteren Menschen.</w:t>
      </w:r>
    </w:p>
    <w:p>
      <w:r>
        <w:rPr>
          <w:color w:val="5A7D3A"/>
          <w:sz w:val="18"/>
        </w:rPr>
        <w:t>https://pubmed.ncbi.nlm.nih.gov/42927076/</w:t>
      </w:r>
    </w:p>
    <w:p>
      <w:pPr>
        <w:pStyle w:val="Heading2"/>
      </w:pPr>
      <w:r>
        <w:t>Notfall-Kolonkarzinom-Resektion: Direct-ICU-Transfer senkt Mortalität nicht</w:t>
      </w:r>
    </w:p>
    <w:p>
      <w:r>
        <w:rPr>
          <w:i/>
          <w:color w:val="666666"/>
          <w:sz w:val="18"/>
        </w:rPr>
        <w:t>Blake HA et al.  ·  BJA Open  ·  15.10.2026  ·  PMID 42926795</w:t>
      </w:r>
    </w:p>
    <w:p>
      <w:r>
        <w:t>Englische Populationsstudie (10.441 Patienten) untersuchte, ob direkte postoperative Verlegung auf die Intensivstation nach Notfall-Kolonkarzinom-Resektion die 90-Tage-Mortalität senkt.</w:t>
      </w:r>
    </w:p>
    <w:p>
      <w:r>
        <w:rPr>
          <w:b/>
        </w:rPr>
        <w:t xml:space="preserve">Ergebnis: </w:t>
      </w:r>
      <w:r>
        <w:t>Unangepasst war die Mortalität höher bei Direct-Transfer (10,9% vs. 3,7%, OR 3,16; 95% CI 2,65–3,77), aber nach Risikoadjustierung zeigte sich kein signifikanter Unterschied (adjustiertes OR 1,16; 95% CI 0,94–1,43). Die Direct-Transfer-Quote variierte stark zwischen Kliniken (IQR 68–92%).</w:t>
      </w:r>
    </w:p>
    <w:p>
      <w:r>
        <w:rPr>
          <w:b/>
          <w:sz w:val="19"/>
        </w:rPr>
        <w:t xml:space="preserve">Übertragbarkeit: </w:t>
      </w:r>
      <w:r>
        <w:rPr>
          <w:sz w:val="19"/>
        </w:rPr>
        <w:t>UK NHS-Daten, nationale Kohortenstudie mit Routinedaten; begrenzt übertragbar auf deutsches System mit anderen Organisationsstrukturen.</w:t>
      </w:r>
    </w:p>
    <w:p>
      <w:r>
        <w:rPr>
          <w:color w:val="5A7D3A"/>
          <w:sz w:val="18"/>
        </w:rPr>
        <w:t>https://pubmed.ncbi.nlm.nih.gov/42926795/</w:t>
      </w:r>
    </w:p>
    <w:p>
      <w:pPr>
        <w:pStyle w:val="Heading2"/>
      </w:pPr>
      <w:r>
        <w:t>Antimikrobielle Resistenz in Konfliktgebieten: Diagnostische Herausforderungen</w:t>
      </w:r>
    </w:p>
    <w:p>
      <w:r>
        <w:rPr>
          <w:i/>
          <w:color w:val="666666"/>
          <w:sz w:val="18"/>
        </w:rPr>
        <w:t>Pallett SJ et al.  ·  Commun Med (Lond)  ·  24.10.2026  ·  PMID 42926236</w:t>
      </w:r>
    </w:p>
    <w:p>
      <w:r>
        <w:t>Qualitative Expertenelicitation mit 8 Fachleuten aus verschiedenen Sektoren (Krankenhaus, Umwelt, Tier) zur Extended-Spectrum-β-Lactamase-Übertragung auf Menschen in Konfliktregionen.</w:t>
      </w:r>
    </w:p>
    <w:p>
      <w:r>
        <w:rPr>
          <w:b/>
        </w:rPr>
        <w:t xml:space="preserve">Ergebnis: </w:t>
      </w:r>
      <w:r>
        <w:t>Tägliche Übertragungsrate hospital-zu-Mensch: 1,76 pro Person-Tag (90% CrI 0,10–8,61) unter Leistungsgewichtung; Begleittier-Pfad: 0,03 (90% CrI 0,00–0,11). Gemeindeumwelt-Pfad: 0,81 (90% CrI 0,10–4,12). Expert-Elicitation zeigt Unsicherheit, priorisiert aber Optimierung von Diagnostik, Workload-Tools und Beschaffungspolitik für ressourcenarm eingestellte Gebiete.</w:t>
      </w:r>
    </w:p>
    <w:p>
      <w:r>
        <w:rPr>
          <w:b/>
          <w:sz w:val="19"/>
        </w:rPr>
        <w:t xml:space="preserve">Übertragbarkeit: </w:t>
      </w:r>
      <w:r>
        <w:rPr>
          <w:sz w:val="19"/>
        </w:rPr>
        <w:t>Systemunabhängig: Antibiotika-Resistenz ist globales Versorgungsproblem; Methode und Befunde relevant für ressourcenlimitierte Kontexte einschließlich Deutschland.</w:t>
      </w:r>
    </w:p>
    <w:p>
      <w:r>
        <w:rPr>
          <w:color w:val="5A7D3A"/>
          <w:sz w:val="18"/>
        </w:rPr>
        <w:t>https://pubmed.ncbi.nlm.nih.gov/42926236/</w:t>
      </w:r>
    </w:p>
    <w:p>
      <w:pPr>
        <w:pStyle w:val="Heading2"/>
      </w:pPr>
      <w:r>
        <w:t>Atemwegserreger bei Pneumonie in ländlichen Regionen: Niederlande</w:t>
      </w:r>
    </w:p>
    <w:p>
      <w:r>
        <w:rPr>
          <w:i/>
          <w:color w:val="666666"/>
          <w:sz w:val="18"/>
        </w:rPr>
        <w:t>Roof I et al.  ·  Pneumonia (Nathan)  ·  25.10.2026  ·  PMID 42926196</w:t>
      </w:r>
    </w:p>
    <w:p>
      <w:r>
        <w:t>Niederländische Querschnittsstudie untersuchte 33 Atemwegserreger bei Hausarzt-Pneumoniepatienten (n=108), Bewohnern ohne Pneumonie (n=200) und Ziegenbauern (n=91) mittels Multiplex-PCR.</w:t>
      </w:r>
    </w:p>
    <w:p>
      <w:r>
        <w:rPr>
          <w:b/>
        </w:rPr>
        <w:t xml:space="preserve">Ergebnis: </w:t>
      </w:r>
      <w:r>
        <w:t>94,5% der Pneumoniepatienten waren Pathogen-positiv, 88,8% der Ziegenbauern und 70% der gesunden Bewohner. M. catarrhalis und S. pneumoniae waren signifikant häufiger bei Pneumonie (p&lt;0,05). Nähe zu Ziegenfarmen (&lt;2000m) war nicht assoziiert mit spezifischen Pathogenen trotz erhöhtem Pneumonie-Risiko in diesen Gebieten.</w:t>
      </w:r>
    </w:p>
    <w:p>
      <w:r>
        <w:rPr>
          <w:b/>
          <w:sz w:val="19"/>
        </w:rPr>
        <w:t xml:space="preserve">Übertragbarkeit: </w:t>
      </w:r>
      <w:r>
        <w:rPr>
          <w:sz w:val="19"/>
        </w:rPr>
        <w:t>Niederländische Routinepraxis; Sozialversicherungssystem ähnlich Deutschland, direkt übertragbar für Versorgungsforschung in ländlichen Gebieten.</w:t>
      </w:r>
    </w:p>
    <w:p>
      <w:r>
        <w:rPr>
          <w:color w:val="5A7D3A"/>
          <w:sz w:val="18"/>
        </w:rPr>
        <w:t>https://pubmed.ncbi.nlm.nih.gov/42926196/</w:t>
      </w:r>
    </w:p>
    <w:p>
      <w:pPr>
        <w:pStyle w:val="Heading2"/>
      </w:pPr>
      <w:r>
        <w:t>Krankenhausüberwachung vermeidbarer Krankheiten bei Kindern: Niederlande</w:t>
      </w:r>
    </w:p>
    <w:p>
      <w:r>
        <w:rPr>
          <w:i/>
          <w:color w:val="666666"/>
          <w:sz w:val="18"/>
        </w:rPr>
        <w:t>Heemskerk S et al.  ·  Vaccine  ·  24.10.2026  ·  PMID 42925772</w:t>
      </w:r>
    </w:p>
    <w:p>
      <w:r>
        <w:t>Niederländische Machbarkeitsstudie evaluierte die Realisierbarkeit von Krankenhausüberwachung für Impfstoff-vermeidbare Erkrankungen mittels Routinedaten in einem Universitätsklinikum (Juli 2024–Juni 2025).</w:t>
      </w:r>
    </w:p>
    <w:p>
      <w:r>
        <w:rPr>
          <w:b/>
        </w:rPr>
        <w:t xml:space="preserve">Ergebnis: </w:t>
      </w:r>
      <w:r>
        <w:t>99 Kinder mit 103 Episoden wurden eingeschlossen; 60% benötigten pädiatrische Intensivpflege. Häufigste waren RSV (n=52) und Influenza (n=27). Impfstatus konnte für 84% der Episoden ermittelt werden. 9% der Episoden traten trotz vollständiger Impfung auf; 76% traten bei nicht-geimpften Kindern auf. Datenintegration aus mehreren Quellen war notwendig.</w:t>
      </w:r>
    </w:p>
    <w:p>
      <w:r>
        <w:rPr>
          <w:b/>
          <w:sz w:val="19"/>
        </w:rPr>
        <w:t xml:space="preserve">Übertragbarkeit: </w:t>
      </w:r>
      <w:r>
        <w:rPr>
          <w:sz w:val="19"/>
        </w:rPr>
        <w:t>Niederländische Tertiärversorgung, nationale Impfprogramme vergleichbar; hohes Potenzial für adaptierte Surveillance in Deutschland.</w:t>
      </w:r>
    </w:p>
    <w:p>
      <w:r>
        <w:rPr>
          <w:color w:val="5A7D3A"/>
          <w:sz w:val="18"/>
        </w:rPr>
        <w:t>https://pubmed.ncbi.nlm.nih.gov/42925772/</w:t>
      </w:r>
    </w:p>
    <w:p>
      <w:pPr>
        <w:pStyle w:val="Heading2"/>
      </w:pPr>
      <w:r>
        <w:t>Schwere Erkrankungen bei chirurgischen Patienten: Mehr Wiederaufnahmen und Kosten</w:t>
      </w:r>
    </w:p>
    <w:p>
      <w:r>
        <w:rPr>
          <w:i/>
          <w:color w:val="666666"/>
          <w:sz w:val="18"/>
        </w:rPr>
        <w:t>Fong WJ et al.  ·  Ann Acad Med Singap  ·  22.10.2026  ·  PMID 42921853</w:t>
      </w:r>
    </w:p>
    <w:p>
      <w:r>
        <w:t>Singapurer Registerstudie (n=228.687 stationäre Operationen, April 2019–März 2023) untersuchte, wie Patienten mit "serious illness" (SI) postoperative Gesundheitsnutzung und Kosten beeinflussen.</w:t>
      </w:r>
    </w:p>
    <w:p>
      <w:r>
        <w:rPr>
          <w:b/>
        </w:rPr>
        <w:t xml:space="preserve">Ergebnis: </w:t>
      </w:r>
      <w:r>
        <w:t>17,9% (41.011) erfüllten SI-Kriterien. Gegenüber Patienten ohne SI: SI-Patienten hatten längere Verweildauer (IRR 1,81; 95% CI 1,80–1,83), höhere 30-Tage-Wiederaufnahmen (OR 1,58; 95% CI 1,52–1,64), höhere 1-Jahres-Wiederaufnahmen (OR 2,60; 95% CI 2,53–2,67), höhere 1-Jahres-ED-Besuche (OR 2,08; 95% CI 2,03–2,14) und höhere relative Rechnungssummen (RR 1,64; 95% CI 1,62–1,67).</w:t>
      </w:r>
    </w:p>
    <w:p>
      <w:r>
        <w:rPr>
          <w:b/>
          <w:sz w:val="19"/>
        </w:rPr>
        <w:t xml:space="preserve">Übertragbarkeit: </w:t>
      </w:r>
      <w:r>
        <w:rPr>
          <w:sz w:val="19"/>
        </w:rPr>
        <w:t>Singapur-Routinedaten; System und Fragestellung relevant für deutsches Gesundheitswesen zur Identifikation von Hochrisiko-Patienten in der Versorgung.</w:t>
      </w:r>
    </w:p>
    <w:p>
      <w:r>
        <w:rPr>
          <w:color w:val="5A7D3A"/>
          <w:sz w:val="18"/>
        </w:rPr>
        <w:t>https://pubmed.ncbi.nlm.nih.gov/42921853/</w:t>
      </w:r>
    </w:p>
    <w:p>
      <w:pPr>
        <w:pStyle w:val="Heading1"/>
      </w:pPr>
      <w:r>
        <w:t>Aufgenommen am 25.10.2026</w:t>
      </w:r>
    </w:p>
    <w:p>
      <w:pPr>
        <w:pStyle w:val="Heading2"/>
      </w:pPr>
      <w:r>
        <w:t>Soziale Unterstützung und Zufriedenheit mit Anreizen in Primärversorgung</w:t>
      </w:r>
    </w:p>
    <w:p>
      <w:r>
        <w:rPr>
          <w:i/>
          <w:color w:val="666666"/>
          <w:sz w:val="18"/>
        </w:rPr>
        <w:t>Wang J et al.  ·  BMC Health Serv Res  ·  13.10.2026  ·  PMID 42920143</w:t>
      </w:r>
    </w:p>
    <w:p>
      <w:r>
        <w:t>Querschnittsstudie mit 1154 Beschäftigten in Primärversorgungseinrichtungen (Anhui, China) zur Assoziation zwischen sozialer Unterstützung und Zufriedenheit mit Organisationsanreizen sowie der mediierenden Rolle der psychologischen Ressourcen.</w:t>
      </w:r>
    </w:p>
    <w:p>
      <w:r>
        <w:rPr>
          <w:b/>
        </w:rPr>
        <w:t xml:space="preserve">Ergebnis: </w:t>
      </w:r>
      <w:r>
        <w:t>Positive Korrelation zwischen sozialer Unterstützung und Zufriedenheit (β = 0,257, p &lt; 0,001 in Modell 5; β = 0,178, p &lt; 0,001 in Modell 6). Hoffnung zeigte positiven partiellen Mediatoreffekt (indirekter Effekt = 0,077, 95%-KI [0,042; 0,115]), Selbstwirksamkeit einen maskierenden Effekt (indirekter Effekt = −0,033, 95%-KI [−0,057; −0,009]). Unterschiedliche Wirkpfade von Ressourcen-Subdimensionen identifiziert.</w:t>
      </w:r>
    </w:p>
    <w:p>
      <w:r>
        <w:rPr>
          <w:b/>
          <w:sz w:val="19"/>
        </w:rPr>
        <w:t xml:space="preserve">Übertragbarkeit: </w:t>
      </w:r>
      <w:r>
        <w:rPr>
          <w:sz w:val="19"/>
        </w:rPr>
        <w:t>China-Daten; begrenzt übertragbar auf deutsches Sozialversicherungssystem wegen anderer Systemstruktur</w:t>
      </w:r>
    </w:p>
    <w:p>
      <w:r>
        <w:rPr>
          <w:color w:val="5A7D3A"/>
          <w:sz w:val="18"/>
        </w:rPr>
        <w:t>https://pubmed.ncbi.nlm.nih.gov/42920143/</w:t>
      </w:r>
    </w:p>
    <w:p>
      <w:pPr>
        <w:pStyle w:val="Heading2"/>
      </w:pPr>
      <w:r>
        <w:t>Register als Basis für Value-Based Health Care in Orthopädie</w:t>
      </w:r>
    </w:p>
    <w:p>
      <w:r>
        <w:rPr>
          <w:i/>
          <w:color w:val="666666"/>
          <w:sz w:val="18"/>
        </w:rPr>
        <w:t>Cnudde P et al.  ·  BMC Health Serv Res  ·  15.09.2026  ·  PMID 42920135</w:t>
      </w:r>
    </w:p>
    <w:p>
      <w:r>
        <w:t>Qualitative Studie mit 15 internationalen Experten zu Rolle klinischer Register bei Entwicklung und Umsetzung von Value-Based Health Care anhand orthopädischer Register.</w:t>
      </w:r>
    </w:p>
    <w:p>
      <w:r>
        <w:rPr>
          <w:b/>
        </w:rPr>
        <w:t xml:space="preserve">Ergebnis: </w:t>
      </w:r>
      <w:r>
        <w:t>Register tragen zur Evidence-Based Medicine und Verbesserung von Patientenergebnissen bei durch Unterstützung von Implant-Entscheidungen und Behandlungsregimen für vier Stakeholder (Patient, klinisches Team, Gesundheitssystem, Gesellschaft). Rolle bei Pathways-Entwicklung war variabel. Register reduzieren unerwünschte Variation und verknüpfen Wert mit Versorgung.</w:t>
      </w:r>
    </w:p>
    <w:p>
      <w:r>
        <w:rPr>
          <w:b/>
          <w:sz w:val="19"/>
        </w:rPr>
        <w:t xml:space="preserve">Übertragbarkeit: </w:t>
      </w:r>
      <w:r>
        <w:rPr>
          <w:sz w:val="19"/>
        </w:rPr>
        <w:t>Skandinavische und UK-Register; Konzept übertragbar auf deutsches System mit Sozialversicherungsfinanzierung</w:t>
      </w:r>
    </w:p>
    <w:p>
      <w:r>
        <w:rPr>
          <w:color w:val="5A7D3A"/>
          <w:sz w:val="18"/>
        </w:rPr>
        <w:t>https://pubmed.ncbi.nlm.nih.gov/42920135/</w:t>
      </w:r>
    </w:p>
    <w:p>
      <w:pPr>
        <w:pStyle w:val="Heading2"/>
      </w:pPr>
      <w:r>
        <w:t>Second Victimhood bei Ärztinnen und Ärzten sowie Pflegenden</w:t>
      </w:r>
    </w:p>
    <w:p>
      <w:r>
        <w:rPr>
          <w:i/>
          <w:color w:val="666666"/>
          <w:sz w:val="18"/>
        </w:rPr>
        <w:t>Açıkgöz B et al.  ·  BMC Health Serv Res  ·  30.09.2026  ·  PMID 42920132</w:t>
      </w:r>
    </w:p>
    <w:p>
      <w:r>
        <w:t>Querschnittsstudie mit 366 Beschäftigten eines türkischen Universitätskrankenhauses zur Häufigkeit und Folgen von Second Victimhood nach unerwünschten Ereignissen sowie zu Unterstützungsbedarfen.</w:t>
      </w:r>
    </w:p>
    <w:p>
      <w:r>
        <w:rPr>
          <w:b/>
        </w:rPr>
        <w:t xml:space="preserve">Ergebnis: </w:t>
      </w:r>
      <w:r>
        <w:t>15,0% der Teilnehmenden berichteten Second Victimhood, 75,9% davon berichteten negative Konsequenzen. Alter ≥46 Jahre (aOR = 5,27, 95%-KI 1,97–14,06) und 2–5 Jahre Betriebszugehörigkeit (aOR = 2,82, 95%-KI 1,43–5,56) waren unabhängig mit Second Victimhood assoziiert. Wunsch nach strukturierter institutioneller Unterstützung war hoch.</w:t>
      </w:r>
    </w:p>
    <w:p>
      <w:r>
        <w:rPr>
          <w:b/>
          <w:sz w:val="19"/>
        </w:rPr>
        <w:t xml:space="preserve">Übertragbarkeit: </w:t>
      </w:r>
      <w:r>
        <w:rPr>
          <w:sz w:val="19"/>
        </w:rPr>
        <w:t>Türkische Daten; qualitative Befunde zu psychosozialen Folgen systemunabhängig relevant</w:t>
      </w:r>
    </w:p>
    <w:p>
      <w:r>
        <w:rPr>
          <w:color w:val="5A7D3A"/>
          <w:sz w:val="18"/>
        </w:rPr>
        <w:t>https://pubmed.ncbi.nlm.nih.gov/42920132/</w:t>
      </w:r>
    </w:p>
    <w:p>
      <w:pPr>
        <w:pStyle w:val="Heading2"/>
      </w:pPr>
      <w:r>
        <w:t>Digitale Psychotherapie für Gesundheitsfachpersonen mit Depression und Angst</w:t>
      </w:r>
    </w:p>
    <w:p>
      <w:r>
        <w:rPr>
          <w:i/>
          <w:color w:val="666666"/>
          <w:sz w:val="18"/>
        </w:rPr>
        <w:t>Morgenstern J et al.  ·  BMC Health Serv Res  ·  12.08.2026  ·  PMID 42908008</w:t>
      </w:r>
    </w:p>
    <w:p>
      <w:r>
        <w:t>Prospektive Kohortenstudie mit 496 Beschäftigten eines US-Gesundheitssystems zur Effektivität und Adhärenz bei digital bereitgestellter, arbeitgeberorientierter Evidence-Based Psychotherapy.</w:t>
      </w:r>
    </w:p>
    <w:p>
      <w:r>
        <w:rPr>
          <w:b/>
        </w:rPr>
        <w:t xml:space="preserve">Ergebnis: </w:t>
      </w:r>
      <w:r>
        <w:t>Von 496 Teilnehmenden absolvierten 348 (70,2%) mindestens eine Follow-up-Untersuchung. Mittlere Symptomreduktion: 6,4 Punkte PHQ-9 (95%-KI 5,7–7,1) und 6,3 Punkte GAD-7 (95%-KI 5,8–6,9; beide p &lt; 0,001). Remissionsraten: 36,5% Depression, 48,8% Angststörung. Durchschnittlich 15 Sitzungen besucht, 81,9% Therapie abgeschlossen.</w:t>
      </w:r>
    </w:p>
    <w:p>
      <w:r>
        <w:rPr>
          <w:b/>
          <w:sz w:val="19"/>
        </w:rPr>
        <w:t xml:space="preserve">Übertragbarkeit: </w:t>
      </w:r>
      <w:r>
        <w:rPr>
          <w:sz w:val="19"/>
        </w:rPr>
        <w:t>US-Studie; Implementierungsmodell systemunabhängig für Betriebliche Gesundheitsförderung relevant</w:t>
      </w:r>
    </w:p>
    <w:p>
      <w:r>
        <w:rPr>
          <w:color w:val="5A7D3A"/>
          <w:sz w:val="18"/>
        </w:rPr>
        <w:t>https://pubmed.ncbi.nlm.nih.gov/42908008/</w:t>
      </w:r>
    </w:p>
    <w:p>
      <w:pPr>
        <w:pStyle w:val="Heading2"/>
      </w:pPr>
      <w:r>
        <w:t>Effektivität der RSV-Impfung in der klinischen Praxis</w:t>
      </w:r>
    </w:p>
    <w:p>
      <w:r>
        <w:rPr>
          <w:i/>
          <w:color w:val="666666"/>
          <w:sz w:val="18"/>
        </w:rPr>
        <w:t>Groenendijk RW et al.  ·  Lancet Infect Dis  ·  20.10.2026  ·  PMID 42901195</w:t>
      </w:r>
    </w:p>
    <w:p>
      <w:r>
        <w:t>Narrativer Review zur Real-World-Effektivität und Implementierung von RSV-Impfstoffen für Säuglinge und ältere Erwachsene sowie Zugangsbarrieren insbesondere in Ländern mit niedrigerem Einkommen.</w:t>
      </w:r>
    </w:p>
    <w:p>
      <w:r>
        <w:rPr>
          <w:b/>
        </w:rPr>
        <w:t xml:space="preserve">Ergebnis: </w:t>
      </w:r>
      <w:r>
        <w:t>RSV-Impfstoffe zeigen hohe Real-World-Effektivität mit zusätzlichen Vorteilen (reduzierte kardiovaskuläre Ereignisse bei älteren Erwachsenen). Trotz vergleichbarer Effektivität unterscheiden sich Inanspruchnahmequoten zwischen Produkttypen erheblich. Erfolgreiche Implementierung erfordert Integration in routinierte Versorgung, Empfehlung durch vertraute Anbieter und kontextsensitive Strategien.</w:t>
      </w:r>
    </w:p>
    <w:p>
      <w:r>
        <w:rPr>
          <w:b/>
          <w:sz w:val="19"/>
        </w:rPr>
        <w:t xml:space="preserve">Übertragbarkeit: </w:t>
      </w:r>
      <w:r>
        <w:rPr>
          <w:sz w:val="19"/>
        </w:rPr>
        <w:t>Internationale Evidenz; Zugangs- und Implementierungsaspekte für deutsches Sozialversicherungssystem relevant</w:t>
      </w:r>
    </w:p>
    <w:p>
      <w:r>
        <w:rPr>
          <w:color w:val="5A7D3A"/>
          <w:sz w:val="18"/>
        </w:rPr>
        <w:t>https://pubmed.ncbi.nlm.nih.gov/42901195/</w:t>
      </w:r>
    </w:p>
    <w:p>
      <w:pPr>
        <w:pStyle w:val="Heading2"/>
      </w:pPr>
      <w:r>
        <w:t>Genetische Faktoren und Manifestation von Essstörungssymptomen</w:t>
      </w:r>
    </w:p>
    <w:p>
      <w:r>
        <w:rPr>
          <w:i/>
          <w:color w:val="666666"/>
          <w:sz w:val="18"/>
        </w:rPr>
        <w:t>Davies HL et al.  ·  Br J Psychiatry  ·  07.10.2026  ·  PMID 42841245</w:t>
      </w:r>
    </w:p>
    <w:p>
      <w:r>
        <w:t>Genomische Assoziationsstudie mit 24.973 Personen europäischen Ursprungs zu Häufigkeit, Manifestationsalter und genetischer Heritabilität von Essstörungssymptomen sowie zu polygenen Assoziationen.</w:t>
      </w:r>
    </w:p>
    <w:p>
      <w:r>
        <w:rPr>
          <w:b/>
        </w:rPr>
        <w:t xml:space="preserve">Ergebnis: </w:t>
      </w:r>
      <w:r>
        <w:t>Symptommedian-Onset 16–20 Jahre: Erbrechen (16 Jahre), Fasten/exzessives Training (17 Jahre), Binge Eating (18 Jahre), Abführmittel (19 Jahre), Diuretika (20 Jahre), Untergewicht (20 Jahre). SNP-basierte Heritabilität 0,31–0,78 für Verhaltensweisen; Alter bei Onset weniger heritabel. Frühere Binge-Eating-Exposition bei höherem Adipositas-PGS (~7 Monate).</w:t>
      </w:r>
    </w:p>
    <w:p>
      <w:r>
        <w:rPr>
          <w:b/>
          <w:sz w:val="19"/>
        </w:rPr>
        <w:t xml:space="preserve">Übertragbarkeit: </w:t>
      </w:r>
      <w:r>
        <w:rPr>
          <w:sz w:val="19"/>
        </w:rPr>
        <w:t>UK-Biobankdaten; Symptom-Onset-Profile und Geschlechtsunterschiede für Prävention und Versorgung relevant</w:t>
      </w:r>
    </w:p>
    <w:p>
      <w:r>
        <w:rPr>
          <w:color w:val="5A7D3A"/>
          <w:sz w:val="18"/>
        </w:rPr>
        <w:t>https://pubmed.ncbi.nlm.nih.gov/42841245/</w:t>
      </w:r>
    </w:p>
    <w:p>
      <w:pPr>
        <w:pStyle w:val="Heading1"/>
      </w:pPr>
      <w:r>
        <w:t>Aufgenommen am 24.10.2026</w:t>
      </w:r>
    </w:p>
    <w:p>
      <w:pPr>
        <w:pStyle w:val="Heading2"/>
      </w:pPr>
      <w:r>
        <w:t>Resilienzfaktoren bei Altenpflegekräften: Mixed-Methods-Studie</w:t>
      </w:r>
    </w:p>
    <w:p>
      <w:r>
        <w:rPr>
          <w:i/>
          <w:color w:val="666666"/>
          <w:sz w:val="18"/>
        </w:rPr>
        <w:t>Cantarelli P et al.  ·  BMC Health Serv Res  ·  27.07.2026  ·  PMID 42919231</w:t>
      </w:r>
    </w:p>
    <w:p>
      <w:r>
        <w:t>Die Studie untersuchte persönliche und organisationale Prädiktoren von Resilienz bei Fachkräften in stationären Altenpflegeeinrichtungen in Italien durch eine Querschnittsbefragung (n=231) und vier Fokusgruppen.</w:t>
      </w:r>
    </w:p>
    <w:p>
      <w:r>
        <w:rPr>
          <w:b/>
        </w:rPr>
        <w:t xml:space="preserve">Ergebnis: </w:t>
      </w:r>
      <w:r>
        <w:t>Psychisches Wohlbefinden war der stärkste Prädiktor für individuelle Resilienz (multivariate Analyse), gefolgt von organisationaler Resilienzkapazität. Burnout, Kündigungsabsicht und Selbstbeurteilung der Gesundheit zeigten keine signifikanten Assoziationen mit Resilienz. Qualitative Befunde: Beziehungssinn in der Pflege als Schlüsselquelle für psychologische Belohnung, Teamwork und organisationale Unterstützung als zentral für Resilienz.</w:t>
      </w:r>
    </w:p>
    <w:p>
      <w:r>
        <w:rPr>
          <w:b/>
          <w:sz w:val="19"/>
        </w:rPr>
        <w:t xml:space="preserve">Übertragbarkeit: </w:t>
      </w:r>
      <w:r>
        <w:rPr>
          <w:sz w:val="19"/>
        </w:rPr>
        <w:t>Italien, aber ähnliche Struktur stationärer Altenpflege wie Deutschland</w:t>
      </w:r>
    </w:p>
    <w:p>
      <w:r>
        <w:rPr>
          <w:color w:val="5A7D3A"/>
          <w:sz w:val="18"/>
        </w:rPr>
        <w:t>https://pubmed.ncbi.nlm.nih.gov/42919231/</w:t>
      </w:r>
    </w:p>
    <w:p>
      <w:pPr>
        <w:pStyle w:val="Heading2"/>
      </w:pPr>
      <w:r>
        <w:t>Chatbot zur Telemedizin-Unterstützung bei Diabetes: Mixed-Methods-Studie</w:t>
      </w:r>
    </w:p>
    <w:p>
      <w:r>
        <w:rPr>
          <w:i/>
          <w:color w:val="666666"/>
          <w:sz w:val="18"/>
        </w:rPr>
        <w:t>Ong RHS et al.  ·  J Med Internet Res  ·  23.10.2026  ·  PMID 42913398</w:t>
      </w:r>
    </w:p>
    <w:p>
      <w:r>
        <w:t>Embedded Mixed-Methods-Evaluierung eines klinisch-protokollgestützten Chatbots (Siu Dai) zur Unterstützung von Telecare-Fachkräften und Diabetespatienten (n=14: 7 Patienten, 7 Fachkräfte).</w:t>
      </w:r>
    </w:p>
    <w:p>
      <w:r>
        <w:rPr>
          <w:b/>
        </w:rPr>
        <w:t xml:space="preserve">Ergebnis: </w:t>
      </w:r>
      <w:r>
        <w:t>Patienten: hohe Engagement (79% abgeschlossener Sessions, Median 2:58 Min), hohe Zufriedenheit (86% würden empfehlen). Fachkräfte zurückhaltender (43% befürworten universelle Ausrollung). System Usability Scale 60,3±9,6 (akzeptabel). Qualitativ fünf Themen: Usability, Prozessintegration, Akzeptanzfaktoren, wahrgenommene Effizienz, Verbesserungsvorschläge. Barrieren: fehlende EMR-Integration, Inhaltredundanz.</w:t>
      </w:r>
    </w:p>
    <w:p>
      <w:r>
        <w:rPr>
          <w:b/>
          <w:sz w:val="19"/>
        </w:rPr>
        <w:t xml:space="preserve">Übertragbarkeit: </w:t>
      </w:r>
      <w:r>
        <w:rPr>
          <w:sz w:val="19"/>
        </w:rPr>
        <w:t>Singapur-Daten; telemedizinische Prozesse aber systemunabhängig relevant</w:t>
      </w:r>
    </w:p>
    <w:p>
      <w:r>
        <w:rPr>
          <w:color w:val="5A7D3A"/>
          <w:sz w:val="18"/>
        </w:rPr>
        <w:t>https://pubmed.ncbi.nlm.nih.gov/42913398/</w:t>
      </w:r>
    </w:p>
    <w:p>
      <w:pPr>
        <w:pStyle w:val="Heading2"/>
      </w:pPr>
      <w:r>
        <w:t>PrEP-Adoption bei Sexarbeiterinnen in Äthiopien: Einflussfaktoren</w:t>
      </w:r>
    </w:p>
    <w:p>
      <w:r>
        <w:rPr>
          <w:i/>
          <w:color w:val="666666"/>
          <w:sz w:val="18"/>
        </w:rPr>
        <w:t>Lema M et al.  ·  BMC Health Serv Res  ·  25.07.2026  ·  PMID 42908021</w:t>
      </w:r>
    </w:p>
    <w:p>
      <w:r>
        <w:t>Querschnittsstudie mit 422 HIV-negativen Sexarbeiterinnen zur Untersuchung von Faktoren, die PrEP-Adoption beeinflussen.</w:t>
      </w:r>
    </w:p>
    <w:p>
      <w:r>
        <w:rPr>
          <w:b/>
        </w:rPr>
        <w:t xml:space="preserve">Ergebnis: </w:t>
      </w:r>
      <w:r>
        <w:t>PrEP-Uptake 43,3% (95%-KI 38,6–48,1%). Signifikant assoziiert mit PrEP-Nutzung: Alter &gt;24 Jahre (AOR 2,03), PrEP-Bewusstsein (AOR 2,53), HIV-Risikoperzeption (AOR 1,89), flexible Arbeitszeiten (AOR 2,89). Keine signifikanten Assoziationen mit Substanzabhängigkeit, Kondomnutzung oder religiösen Überzeugungen.</w:t>
      </w:r>
    </w:p>
    <w:p>
      <w:r>
        <w:rPr>
          <w:b/>
          <w:sz w:val="19"/>
        </w:rPr>
        <w:t xml:space="preserve">Übertragbarkeit: </w:t>
      </w:r>
      <w:r>
        <w:rPr>
          <w:sz w:val="19"/>
        </w:rPr>
        <w:t>Begrenzt: Subsahara-Afrika, anderes Gesundheitssystem, Frage aber systemunabhängig</w:t>
      </w:r>
    </w:p>
    <w:p>
      <w:r>
        <w:rPr>
          <w:color w:val="5A7D3A"/>
          <w:sz w:val="18"/>
        </w:rPr>
        <w:t>https://pubmed.ncbi.nlm.nih.gov/42908021/</w:t>
      </w:r>
    </w:p>
    <w:p>
      <w:pPr>
        <w:pStyle w:val="Heading2"/>
      </w:pPr>
      <w:r>
        <w:t>Apothekengestützte Kontinenzversorgung (PRIME): Co-Production-Studie</w:t>
      </w:r>
    </w:p>
    <w:p>
      <w:r>
        <w:rPr>
          <w:i/>
          <w:color w:val="666666"/>
          <w:sz w:val="18"/>
        </w:rPr>
        <w:t>Cotterill N et al.  ·  BMC Health Serv Res  ·  24.07.2026  ·  PMID 42907888</w:t>
      </w:r>
    </w:p>
    <w:p>
      <w:r>
        <w:t>UK-Online-Umfrage mit 29 Apothekern und zwei Workshops mit 16 Stakeholdern (Apotheker, Fachkräfte, Patienten, Kommissare) zur Entwicklung einer Servicespezifikation für Blasen- und Darmgesundheit.</w:t>
      </w:r>
    </w:p>
    <w:p>
      <w:r>
        <w:rPr>
          <w:b/>
        </w:rPr>
        <w:t xml:space="preserve">Ergebnis: </w:t>
      </w:r>
      <w:r>
        <w:t>Umfrage: Apotheken bieten einige Lebensstiländerungsberatung an, substanzielles Ausbaupotenzial erkannt. Workshops entwickelten dreistufige PBBS-Servicespezifikation: Tier 1 (Aufklärung, Signposting), Tier 2 (Bewertung, Selbsthilferatschläge), Tier 3 (spezialisierte Behandlung). Kritische Anforderungen: Informationsaustausch, Schulung, Vergütung.</w:t>
      </w:r>
    </w:p>
    <w:p>
      <w:r>
        <w:rPr>
          <w:b/>
          <w:sz w:val="19"/>
        </w:rPr>
        <w:t xml:space="preserve">Übertragbarkeit: </w:t>
      </w:r>
      <w:r>
        <w:rPr>
          <w:sz w:val="19"/>
        </w:rPr>
        <w:t>UK-Studie, aber Apotheken-Versorgungsforschung auf Primärversorgung übertragbar</w:t>
      </w:r>
    </w:p>
    <w:p>
      <w:r>
        <w:rPr>
          <w:color w:val="5A7D3A"/>
          <w:sz w:val="18"/>
        </w:rPr>
        <w:t>https://pubmed.ncbi.nlm.nih.gov/42907888/</w:t>
      </w:r>
    </w:p>
    <w:p>
      <w:pPr>
        <w:pStyle w:val="Heading2"/>
      </w:pPr>
      <w:r>
        <w:t>Rolle von Gemeindegesundheitshelfern in Delhi: qualitative Erfahrungen</w:t>
      </w:r>
    </w:p>
    <w:p>
      <w:r>
        <w:rPr>
          <w:i/>
          <w:color w:val="666666"/>
          <w:sz w:val="18"/>
        </w:rPr>
        <w:t>Steenbeek A et al.  ·  BMC Health Serv Res  ·  27.07.2026  ·  PMID 42907877</w:t>
      </w:r>
    </w:p>
    <w:p>
      <w:r>
        <w:t>Qualitative Deskriptivanalyse mit 12 Gemeindegesundheitshelfern, 5 Gemeindemitgliedern und 4 Gemeindeleitern in Delhi während und nach COVID-19 (März–Mai 2025).</w:t>
      </w:r>
    </w:p>
    <w:p>
      <w:r>
        <w:rPr>
          <w:b/>
        </w:rPr>
        <w:t xml:space="preserve">Ergebnis: </w:t>
      </w:r>
      <w:r>
        <w:t>Drei Kategorien aus Angebots-Sicht: Vertrauen und Respekt, professionelle Werte, Normen/Kultur/Familie. Eine Kategorie aus Nachfrage-Sicht: Gemeinschaftsbedarf. COVID-19-Auswirkungen und Bedenken zur Versorgungsqualität über alle Domänen evident. Wichtigste Befunde: Notwendigkeit von Forschung zu soziokulturellen Einflüssen, Anreiz-Nachhaltigkeit und digitalen Technologien.</w:t>
      </w:r>
    </w:p>
    <w:p>
      <w:r>
        <w:rPr>
          <w:b/>
          <w:sz w:val="19"/>
        </w:rPr>
        <w:t xml:space="preserve">Übertragbarkeit: </w:t>
      </w:r>
      <w:r>
        <w:rPr>
          <w:sz w:val="19"/>
        </w:rPr>
        <w:t>Indien; qualitative Einsichten zu CHW-Rollen aber teilweise übertragbar</w:t>
      </w:r>
    </w:p>
    <w:p>
      <w:r>
        <w:rPr>
          <w:color w:val="5A7D3A"/>
          <w:sz w:val="18"/>
        </w:rPr>
        <w:t>https://pubmed.ncbi.nlm.nih.gov/42907877/</w:t>
      </w:r>
    </w:p>
    <w:p>
      <w:pPr>
        <w:pStyle w:val="Heading2"/>
      </w:pPr>
      <w:r>
        <w:t>Patientenreisen bei Kindern mit Chronischerkrankungen in Deutschland</w:t>
      </w:r>
    </w:p>
    <w:p>
      <w:r>
        <w:rPr>
          <w:i/>
          <w:color w:val="666666"/>
          <w:sz w:val="18"/>
        </w:rPr>
        <w:t>Herr CJ et al.  ·  Eur J Pediatr  ·  22.10.2026  ·  PMID 42907562</w:t>
      </w:r>
    </w:p>
    <w:p>
      <w:r>
        <w:t>Qualitative Studie mit 22 Fachkräften (7 Ärzte, 8 Therapeuten, 7 Sozialarbeiter) zur Erkundung von Perspektiven auf Versorgungspfade von Kindern mit chronischen Erkrankungen.</w:t>
      </w:r>
    </w:p>
    <w:p>
      <w:r>
        <w:rPr>
          <w:b/>
        </w:rPr>
        <w:t xml:space="preserve">Ergebnis: </w:t>
      </w:r>
      <w:r>
        <w:t>Fünf Themen identifiziert: Versorgung wird als fragmentiert, schwer navigierbar und schlecht koordiniert wahrgenommen. Hauptbarrieren: lange Wartezeiten, unkare Versorgungspfade, begrenzte interprofessionelle Kommunikation. Besondere Schwierigkeiten bei sozioökonomischen Benachteiligungen und Sprachbarrieren. Empfehlung: bessere Systemkoordination und Erreichbarkeit.</w:t>
      </w:r>
    </w:p>
    <w:p>
      <w:r>
        <w:rPr>
          <w:b/>
          <w:sz w:val="19"/>
        </w:rPr>
        <w:t xml:space="preserve">Übertragbarkeit: </w:t>
      </w:r>
      <w:r>
        <w:rPr>
          <w:sz w:val="19"/>
        </w:rPr>
        <w:t>Deutsche Studie mit deutschen Daten und System</w:t>
      </w:r>
    </w:p>
    <w:p>
      <w:r>
        <w:rPr>
          <w:color w:val="5A7D3A"/>
          <w:sz w:val="18"/>
        </w:rPr>
        <w:t>https://pubmed.ncbi.nlm.nih.gov/42907562/</w:t>
      </w:r>
    </w:p>
    <w:p>
      <w:pPr>
        <w:pStyle w:val="Heading1"/>
      </w:pPr>
      <w:r>
        <w:t>Aufgenommen am 23.10.2026</w:t>
      </w:r>
    </w:p>
    <w:p>
      <w:pPr>
        <w:pStyle w:val="Heading2"/>
      </w:pPr>
      <w:r>
        <w:t>Arbeitszeit, Karriere und Zufriedenheit: Ärzte in Deutschland</w:t>
      </w:r>
    </w:p>
    <w:p>
      <w:r>
        <w:rPr>
          <w:i/>
          <w:color w:val="666666"/>
          <w:sz w:val="18"/>
        </w:rPr>
        <w:t>Carolina V et al.  ·  BMC Health Serv Res  ·  21.10.2026  ·  PMID 42908019</w:t>
      </w:r>
    </w:p>
    <w:p>
      <w:r>
        <w:t>Befragung von 898 deutschen Ärzten zu Arbeitszeitmodellen, Karrierechancen und Work-Life-Balance.</w:t>
      </w:r>
    </w:p>
    <w:p>
      <w:r>
        <w:rPr>
          <w:b/>
        </w:rPr>
        <w:t xml:space="preserve">Ergebnis: </w:t>
      </w:r>
      <w:r>
        <w:t>56,8% arbeiteten Vollzeit, 52,8% der Teilzeitbeschäftigten waren zufriedener als 45,3% der Vollzeitbeschäftigten (p = 0,020). Klinikärzte hatten geringere Chancen auf Arbeitszeitzufriedenheit (aOR 0,33), Arbeitgeberunterstützung (aOR 0,24) und gleiche Karrierechancen (aOR 0,31); 58,2% fürchteten negative Karrierefolgen bei Stundenreduktion.</w:t>
      </w:r>
    </w:p>
    <w:p>
      <w:r>
        <w:rPr>
          <w:b/>
          <w:sz w:val="19"/>
        </w:rPr>
        <w:t xml:space="preserve">Übertragbarkeit: </w:t>
      </w:r>
      <w:r>
        <w:rPr>
          <w:sz w:val="19"/>
        </w:rPr>
        <w:t>Deutsche Routinedaten, Ärzte aus allen Fachgruppen und Karrierestufen</w:t>
      </w:r>
    </w:p>
    <w:p>
      <w:r>
        <w:rPr>
          <w:color w:val="5A7D3A"/>
          <w:sz w:val="18"/>
        </w:rPr>
        <w:t>https://pubmed.ncbi.nlm.nih.gov/42908019/</w:t>
      </w:r>
    </w:p>
    <w:p>
      <w:pPr>
        <w:pStyle w:val="Heading2"/>
      </w:pPr>
      <w:r>
        <w:t>Patientenfeedback zur Geburtshilfe: partizipativ entwickeltes Instrument</w:t>
      </w:r>
    </w:p>
    <w:p>
      <w:r>
        <w:rPr>
          <w:i/>
          <w:color w:val="666666"/>
          <w:sz w:val="18"/>
        </w:rPr>
        <w:t>Gondwe MJ et al.  ·  BMC Health Serv Res  ·  24.07.2026  ·  PMID 42908016</w:t>
      </w:r>
    </w:p>
    <w:p>
      <w:r>
        <w:t>Partizipative Co-Design-Studie zur Entwicklung eines Feedback-Tools für Geburtshilfeleistungen mit Stakeholdern in Malawi.</w:t>
      </w:r>
    </w:p>
    <w:p>
      <w:r>
        <w:rPr>
          <w:b/>
        </w:rPr>
        <w:t xml:space="preserve">Ergebnis: </w:t>
      </w:r>
      <w:r>
        <w:t>87 Stakeholder in zwei Workshops erarbeiteten 7 Prioritätsbereiche und 27-32 Indikatoren für ante-, intra- und postpartale Versorgung. Durch iterative Konsensfindung aus ~300 Empfehlungen entstanden: respektvolle Versorgung, Kommunikation/Gesundheitserziehung, emotionale Unterstützung, Zugang und Kontinuität der Versorgung.</w:t>
      </w:r>
    </w:p>
    <w:p>
      <w:r>
        <w:rPr>
          <w:b/>
          <w:sz w:val="19"/>
        </w:rPr>
        <w:t xml:space="preserve">Übertragbarkeit: </w:t>
      </w:r>
      <w:r>
        <w:rPr>
          <w:sz w:val="19"/>
        </w:rPr>
        <w:t>Qualitative Partizipationsstudie, systemunabhängig zur Qualitätssicherung</w:t>
      </w:r>
    </w:p>
    <w:p>
      <w:r>
        <w:rPr>
          <w:color w:val="5A7D3A"/>
          <w:sz w:val="18"/>
        </w:rPr>
        <w:t>https://pubmed.ncbi.nlm.nih.gov/42908016/</w:t>
      </w:r>
    </w:p>
    <w:p>
      <w:pPr>
        <w:pStyle w:val="Heading2"/>
      </w:pPr>
      <w:r>
        <w:t>Shared Decision Making in der Behandlung von Morbus Crohn und Colitis</w:t>
      </w:r>
    </w:p>
    <w:p>
      <w:r>
        <w:rPr>
          <w:i/>
          <w:color w:val="666666"/>
          <w:sz w:val="18"/>
        </w:rPr>
        <w:t>Schoefs E et al.  ·  BMC Health Serv Res  ·  05.10.2026  ·  PMID 42907825</w:t>
      </w:r>
    </w:p>
    <w:p>
      <w:r>
        <w:t>Qualitative Befragung von 15 IBD-Patienten, 11 Gastroenterologen und 12 IBD-Krankenschwestern in Belgien zu Implementierung von Shared Decision Making.</w:t>
      </w:r>
    </w:p>
    <w:p>
      <w:r>
        <w:rPr>
          <w:b/>
        </w:rPr>
        <w:t xml:space="preserve">Ergebnis: </w:t>
      </w:r>
      <w:r>
        <w:t>Gastroenterologen berichten routinemäßige SDM-Integration, Patienten beschreiben Inkonsistenzen, besonders bei emotionaler Unterstützung und Präferenzenfeststellung. IBD-Krankenschwestern als wesentliche Partner identifiziert. Hauptbarrieren: niedrige Gesundheitskompetenz, schlechte Kommunikation, Zeitmangel. Schlüsselfaktoren: SDM-Schulung und Organisationsveränderungen.</w:t>
      </w:r>
    </w:p>
    <w:p>
      <w:r>
        <w:rPr>
          <w:b/>
          <w:sz w:val="19"/>
        </w:rPr>
        <w:t xml:space="preserve">Übertragbarkeit: </w:t>
      </w:r>
      <w:r>
        <w:rPr>
          <w:sz w:val="19"/>
        </w:rPr>
        <w:t>Belgien, vergleichbares Sozialversicherungssystem (Niederlande, Schweiz)</w:t>
      </w:r>
    </w:p>
    <w:p>
      <w:r>
        <w:rPr>
          <w:color w:val="5A7D3A"/>
          <w:sz w:val="18"/>
        </w:rPr>
        <w:t>https://pubmed.ncbi.nlm.nih.gov/42907825/</w:t>
      </w:r>
    </w:p>
    <w:p>
      <w:pPr>
        <w:pStyle w:val="Heading2"/>
      </w:pPr>
      <w:r>
        <w:t>Personalfluktuation in Gesundheitsbehörden: Einflussfaktoren</w:t>
      </w:r>
    </w:p>
    <w:p>
      <w:r>
        <w:rPr>
          <w:i/>
          <w:color w:val="666666"/>
          <w:sz w:val="18"/>
        </w:rPr>
        <w:t>Mohammed FZ et al.  ·  BMC Health Serv Res  ·  25.07.2026  ·  PMID 42907823</w:t>
      </w:r>
    </w:p>
    <w:p>
      <w:r>
        <w:t>Cross-sectional-Studie zu Kündigungsabsichten bei 418 Mitarbeitern regionaler und städtischer Gesundheitsbehörden in Äthiopien.</w:t>
      </w:r>
    </w:p>
    <w:p>
      <w:r>
        <w:rPr>
          <w:b/>
        </w:rPr>
        <w:t xml:space="preserve">Ergebnis: </w:t>
      </w:r>
      <w:r>
        <w:t>55,5% hatten Kündigungsabsicht. Assoziiert: &lt;2 Familienmitglieder (AOR 6,077), Arbeit außerhalb Familienresidenz (AOR 3,241), Trennung von Ehepartner/Kindern (AOR 2,040), Unzufriedenheit mit Gehalt (AOR 7,021) oder Organisation (AOR 2,705). Protektiver Faktor: unzureichende Schulinfrastruktur (AOR 0,411).</w:t>
      </w:r>
    </w:p>
    <w:p>
      <w:r>
        <w:rPr>
          <w:b/>
          <w:sz w:val="19"/>
        </w:rPr>
        <w:t xml:space="preserve">Übertragbarkeit: </w:t>
      </w:r>
      <w:r>
        <w:rPr>
          <w:sz w:val="19"/>
        </w:rPr>
        <w:t>Äthiopien, aber Fragestellung zu Personalmanagement systemunabhängig relevant</w:t>
      </w:r>
    </w:p>
    <w:p>
      <w:r>
        <w:rPr>
          <w:color w:val="5A7D3A"/>
          <w:sz w:val="18"/>
        </w:rPr>
        <w:t>https://pubmed.ncbi.nlm.nih.gov/42907823/</w:t>
      </w:r>
    </w:p>
    <w:p>
      <w:pPr>
        <w:pStyle w:val="Heading2"/>
      </w:pPr>
      <w:r>
        <w:t>Schmerzbehandlung und Angstabbau bei Kindern in der Notaufnahme</w:t>
      </w:r>
    </w:p>
    <w:p>
      <w:r>
        <w:rPr>
          <w:i/>
          <w:color w:val="666666"/>
          <w:sz w:val="18"/>
        </w:rPr>
        <w:t>Kappel RKK et al.  ·  Dan Med J  ·  24.09.2026  ·  PMID 42902749</w:t>
      </w:r>
    </w:p>
    <w:p>
      <w:r>
        <w:t>Prospektive Studie zur Schmerzlinderung bei 184 verletzten Kindern in dänischer Notaufnahme.</w:t>
      </w:r>
    </w:p>
    <w:p>
      <w:r>
        <w:rPr>
          <w:b/>
        </w:rPr>
        <w:t xml:space="preserve">Ergebnis: </w:t>
      </w:r>
      <w:r>
        <w:t>50% (92/184; 95% KI 43-57%) erhielten adequate Schmerzlinderung. Nicht-pharmakologische Maßnahmen selten eingesetzt (57% ≤5 Jahre, 97% &gt;5 Jahre). Pädiatrischer Anästhesist-Konsultation in nur 1,7% (n=3) genutzt. Unerwünschte Arzneimittelwirkungen bei 16,2% (6/37 medikamentös behandelt).</w:t>
      </w:r>
    </w:p>
    <w:p>
      <w:r>
        <w:rPr>
          <w:b/>
          <w:sz w:val="19"/>
        </w:rPr>
        <w:t xml:space="preserve">Übertragbarkeit: </w:t>
      </w:r>
      <w:r>
        <w:rPr>
          <w:sz w:val="19"/>
        </w:rPr>
        <w:t>Dänemark, Nordeuropa, steuerfinanziert, aber Fragestellung zu Patientensicherheit systemunabhängig</w:t>
      </w:r>
    </w:p>
    <w:p>
      <w:r>
        <w:rPr>
          <w:color w:val="5A7D3A"/>
          <w:sz w:val="18"/>
        </w:rPr>
        <w:t>https://pubmed.ncbi.nlm.nih.gov/42902749/</w:t>
      </w:r>
    </w:p>
    <w:p>
      <w:pPr>
        <w:pStyle w:val="Heading2"/>
      </w:pPr>
      <w:r>
        <w:t>Krebsversorgung in Deutschland: Inzidenz und Inanspruchnahme 2003-2016</w:t>
      </w:r>
    </w:p>
    <w:p>
      <w:r>
        <w:rPr>
          <w:i/>
          <w:color w:val="666666"/>
          <w:sz w:val="18"/>
        </w:rPr>
        <w:t>Nowossadeck E et al.  ·  BMC Health Serv Res  ·  14.10.2026  ·  PMID 42902261</w:t>
      </w:r>
    </w:p>
    <w:p>
      <w:r>
        <w:t>Analyse von deutschen Krebsregisterdaten und Versorgungsstatistiken zu Hospitalisierung und Rehabilitation (2003-2016).</w:t>
      </w:r>
    </w:p>
    <w:p>
      <w:r>
        <w:rPr>
          <w:b/>
        </w:rPr>
        <w:t xml:space="preserve">Ergebnis: </w:t>
      </w:r>
      <w:r>
        <w:t>Krebsinzidenz 2003-2016: +9,6% Frauen, +7,0% Männer. Stationäre Fälle: -0,4% Frauen, +4,5% Männer. 2016: 2,46 stationäre Fälle pro Krebsneufall (Frauen), 2,72 (Männer). Rehabilitation pro 100 1-Jahr-Überlebende: Frauen 2003-2016 von 59,2 auf 57,2 gesunken, Männer von 50,8 auf 46,9.</w:t>
      </w:r>
    </w:p>
    <w:p>
      <w:r>
        <w:rPr>
          <w:b/>
          <w:sz w:val="19"/>
        </w:rPr>
        <w:t xml:space="preserve">Übertragbarkeit: </w:t>
      </w:r>
      <w:r>
        <w:rPr>
          <w:sz w:val="19"/>
        </w:rPr>
        <w:t>Deutsche Routinedaten, Krebsregister und statistische Bundesämter</w:t>
      </w:r>
    </w:p>
    <w:p>
      <w:r>
        <w:rPr>
          <w:color w:val="5A7D3A"/>
          <w:sz w:val="18"/>
        </w:rPr>
        <w:t>https://pubmed.ncbi.nlm.nih.gov/42902261/</w:t>
      </w:r>
    </w:p>
    <w:p>
      <w:pPr>
        <w:pStyle w:val="Heading1"/>
      </w:pPr>
      <w:r>
        <w:t>Aufgenommen am 22.10.2026</w:t>
      </w:r>
    </w:p>
    <w:p>
      <w:pPr>
        <w:pStyle w:val="Heading2"/>
      </w:pPr>
      <w:r>
        <w:t>Sicherheit und Umsetzung eines regionalen Hospital-at-Home-Modells in Dänemark</w:t>
      </w:r>
    </w:p>
    <w:p>
      <w:r>
        <w:rPr>
          <w:i/>
          <w:color w:val="666666"/>
          <w:sz w:val="18"/>
        </w:rPr>
        <w:t>Hägi-Pedersen MB et al.  ·  BMC Health Serv Res  ·  24.07.2026  ·  PMID 42902350</w:t>
      </w:r>
    </w:p>
    <w:p>
      <w:r>
        <w:t>Retrospektive Beobachtungsstudie zur Implementierung und Sicherheit eines regionalen Hospital-at-Home-Dienstes mit 2.511 Patienten in Dänemark 2022–2024.</w:t>
      </w:r>
    </w:p>
    <w:p>
      <w:r>
        <w:rPr>
          <w:b/>
        </w:rPr>
        <w:t xml:space="preserve">Ergebnis: </w:t>
      </w:r>
      <w:r>
        <w:t>Medianer stationärer Aufenthalt stieg von 5,1 auf 7,3 Tage; ungeplante Krankenhausaufenthalte blieben stabil (27,0–31,1%), 30-Tage-Wiederaufnahmequoten sanken von 11,0% auf 7,0%, 30-Tage-Überlebensrate konsistent hoch (91,6–92,4%). Infektionskrankheiten häufigste Diagnose (43–47%).</w:t>
      </w:r>
    </w:p>
    <w:p>
      <w:r>
        <w:rPr>
          <w:b/>
          <w:sz w:val="19"/>
        </w:rPr>
        <w:t xml:space="preserve">Übertragbarkeit: </w:t>
      </w:r>
      <w:r>
        <w:rPr>
          <w:sz w:val="19"/>
        </w:rPr>
        <w:t>Dänemark, vergleichbares steuerfinanziertes Gesundheitssystem mit ähnlicher Primärversorgungsstruktur</w:t>
      </w:r>
    </w:p>
    <w:p>
      <w:r>
        <w:rPr>
          <w:color w:val="5A7D3A"/>
          <w:sz w:val="18"/>
        </w:rPr>
        <w:t>https://pubmed.ncbi.nlm.nih.gov/42902350/</w:t>
      </w:r>
    </w:p>
    <w:p>
      <w:pPr>
        <w:pStyle w:val="Heading2"/>
      </w:pPr>
      <w:r>
        <w:t>Fluktuation im Gesundheitspersonal: Rolle von Konflikten und Burnout in China</w:t>
      </w:r>
    </w:p>
    <w:p>
      <w:r>
        <w:rPr>
          <w:i/>
          <w:color w:val="666666"/>
          <w:sz w:val="18"/>
        </w:rPr>
        <w:t>Qi Z et al.  ·  BMC Health Serv Res  ·  25.09.2026  ·  PMID 42902343</w:t>
      </w:r>
    </w:p>
    <w:p>
      <w:r>
        <w:t>Querschnittsstudie mit 1.570 Ärztinnen und medizinischen Fachkräften zur Assoziation von Konflikten und Burnout mit Kündigungsabsicht.</w:t>
      </w:r>
    </w:p>
    <w:p>
      <w:r>
        <w:rPr>
          <w:b/>
        </w:rPr>
        <w:t xml:space="preserve">Ergebnis: </w:t>
      </w:r>
      <w:r>
        <w:t>24,8% der Teilnehmenden berichten Kündigungsabsicht. Nach Anpassung: Konflikte (OR 1,68; 95% KI 1,17–2,43) und höheres Burnout (OR 1,10; 1,07–1,13) assoziiert mit höherer Kündigungsabsicht; bessere Servicequalität (OR 0,97; 0,95–0,99) mit niedrigerer Kündigungsabsicht.</w:t>
      </w:r>
    </w:p>
    <w:p>
      <w:r>
        <w:rPr>
          <w:b/>
          <w:sz w:val="19"/>
        </w:rPr>
        <w:t xml:space="preserve">Übertragbarkeit: </w:t>
      </w:r>
      <w:r>
        <w:rPr>
          <w:sz w:val="19"/>
        </w:rPr>
        <w:t>China, Systemunabhängige Fragestellung zu Arbeitszufriedenheit und Personalverlust relevant</w:t>
      </w:r>
    </w:p>
    <w:p>
      <w:r>
        <w:rPr>
          <w:color w:val="5A7D3A"/>
          <w:sz w:val="18"/>
        </w:rPr>
        <w:t>https://pubmed.ncbi.nlm.nih.gov/42902343/</w:t>
      </w:r>
    </w:p>
    <w:p>
      <w:pPr>
        <w:pStyle w:val="Heading2"/>
      </w:pPr>
      <w:r>
        <w:t>Inanspruchnahme und Barrieren traditioneller chinesischer Medizin bei älteren Erwachsenen</w:t>
      </w:r>
    </w:p>
    <w:p>
      <w:r>
        <w:rPr>
          <w:i/>
          <w:color w:val="666666"/>
          <w:sz w:val="18"/>
        </w:rPr>
        <w:t>Yue Y et al.  ·  BMC Health Serv Res  ·  26.09.2026  ·  PMID 42902286</w:t>
      </w:r>
    </w:p>
    <w:p>
      <w:r>
        <w:t>Mixed-Methods-Studie mit 1.195 älteren Erwachsenen (Querschnitt) und 11 Interviews mit Fachkräften zur TCM-Nutzung und Umsetzungsbarrieren.</w:t>
      </w:r>
    </w:p>
    <w:p>
      <w:r>
        <w:rPr>
          <w:b/>
        </w:rPr>
        <w:t xml:space="preserve">Ergebnis: </w:t>
      </w:r>
      <w:r>
        <w:t>61,0% der Älteren (n=729) nutzten TCM-Dienste; Nutzung assoziiert mit höherer Bildung, höherem Einkommen, mehr chronischen Erkrankungen; ohne Krankenversicherung: aOR 0,30 (0,11–0,77). Provider berichten Barrieren: Politikdefizite, Personalknappheit, Ressourcenlimits, geringe Akzeptanz in der Gemeinschaft.</w:t>
      </w:r>
    </w:p>
    <w:p>
      <w:r>
        <w:rPr>
          <w:b/>
          <w:sz w:val="19"/>
        </w:rPr>
        <w:t xml:space="preserve">Übertragbarkeit: </w:t>
      </w:r>
      <w:r>
        <w:rPr>
          <w:sz w:val="19"/>
        </w:rPr>
        <w:t>China, Primärversorgung; systemspezifisch aber Fragestellung zu Versorgungszugang bei älteren Menschen relevant</w:t>
      </w:r>
    </w:p>
    <w:p>
      <w:r>
        <w:rPr>
          <w:color w:val="5A7D3A"/>
          <w:sz w:val="18"/>
        </w:rPr>
        <w:t>https://pubmed.ncbi.nlm.nih.gov/42902286/</w:t>
      </w:r>
    </w:p>
    <w:p>
      <w:pPr>
        <w:pStyle w:val="Heading2"/>
      </w:pPr>
      <w:r>
        <w:t>Systemische Determinanten der Effektivität von Diabetesversorgung im iranischen Primärsektor</w:t>
      </w:r>
    </w:p>
    <w:p>
      <w:r>
        <w:rPr>
          <w:i/>
          <w:color w:val="666666"/>
          <w:sz w:val="18"/>
        </w:rPr>
        <w:t>Ehteshami F et al.  ·  BMC Health Serv Res  ·  24.07.2026  ·  PMID 42902281</w:t>
      </w:r>
    </w:p>
    <w:p>
      <w:r>
        <w:t>Qualitative Analyse mit 29 Teilnehmern (14 Fachkräfte, 15 Patienten) in Isfahan zur Identifikation von Barrieren und Enabler in der ambulanten Diabetesversorgung.</w:t>
      </w:r>
    </w:p>
    <w:p>
      <w:r>
        <w:rPr>
          <w:b/>
        </w:rPr>
        <w:t xml:space="preserve">Ergebnis: </w:t>
      </w:r>
      <w:r>
        <w:t>Kernbefunde: Vier Versorgungskapazitäten (integriert, zugänglich, teambasiert, kontinuierlich) mit jeweiligen Facilitatoren und Barrieren. Wichtigste Enabler: Leitlinien (IraPEN), IT-Systeme (SIB), Versorgungsabdeckung; Hauptbarrieren: fragmentierte Versorgung, schlechte Koordination zwischen Leistungserbringern, Personalknappheit, Zeitdruck.</w:t>
      </w:r>
    </w:p>
    <w:p>
      <w:r>
        <w:rPr>
          <w:b/>
          <w:sz w:val="19"/>
        </w:rPr>
        <w:t xml:space="preserve">Übertragbarkeit: </w:t>
      </w:r>
      <w:r>
        <w:rPr>
          <w:sz w:val="19"/>
        </w:rPr>
        <w:t>Iran, Sozialversicherungssystem ähnlich deutschem, Primärversorgungskontext vergleichbar</w:t>
      </w:r>
    </w:p>
    <w:p>
      <w:r>
        <w:rPr>
          <w:color w:val="5A7D3A"/>
          <w:sz w:val="18"/>
        </w:rPr>
        <w:t>https://pubmed.ncbi.nlm.nih.gov/42902281/</w:t>
      </w:r>
    </w:p>
    <w:p>
      <w:pPr>
        <w:pStyle w:val="Heading2"/>
      </w:pPr>
      <w:r>
        <w:t>Forschungsbeteiligung von Selbsthilfegruppen seltener Erkrankungen in Polen</w:t>
      </w:r>
    </w:p>
    <w:p>
      <w:r>
        <w:rPr>
          <w:i/>
          <w:color w:val="666666"/>
          <w:sz w:val="18"/>
        </w:rPr>
        <w:t>Domaradzki J et al.  ·  BMC Health Serv Res  ·  22.07.2026  ·  PMID 42897645</w:t>
      </w:r>
    </w:p>
    <w:p>
      <w:r>
        <w:t>Querschnittsstudie mit 64 polnischen Patientenverbänden zu deren Engagement in Forschung und Intersektoralen Kollaborationen.</w:t>
      </w:r>
    </w:p>
    <w:p>
      <w:r>
        <w:rPr>
          <w:b/>
        </w:rPr>
        <w:t xml:space="preserve">Ergebnis: </w:t>
      </w:r>
      <w:r>
        <w:t>Die meisten Verbände berichten gelegentliche Forschungsbeteiligung, aber heterogen und begrenzt. Schwerpunkt: nichtklische Forschung (sozial, Register, Dissemination). Klinische und translationale Forschung seltener, meist unterstützend. Hauptbarrieren: Finanzierungslücken (erwähnt), begrenzte Ressourcen, eingeschränkter Einfluss auf Forschungsprozesse. Modell: eingeschränkte Co-Produktion.</w:t>
      </w:r>
    </w:p>
    <w:p>
      <w:r>
        <w:rPr>
          <w:b/>
          <w:sz w:val="19"/>
        </w:rPr>
        <w:t xml:space="preserve">Übertragbarkeit: </w:t>
      </w:r>
      <w:r>
        <w:rPr>
          <w:sz w:val="19"/>
        </w:rPr>
        <w:t>Polen, Zentraleuropa; Gesundheitssystemkontext und Forschungsbeteiligung teilweise übertragbar</w:t>
      </w:r>
    </w:p>
    <w:p>
      <w:r>
        <w:rPr>
          <w:color w:val="5A7D3A"/>
          <w:sz w:val="18"/>
        </w:rPr>
        <w:t>https://pubmed.ncbi.nlm.nih.gov/42897645/</w:t>
      </w:r>
    </w:p>
    <w:p>
      <w:pPr>
        <w:pStyle w:val="Heading2"/>
      </w:pPr>
      <w:r>
        <w:t>Wahrnehmungen von Patienten und Angehörigen zu Sauerstofftherapie in Uganda</w:t>
      </w:r>
    </w:p>
    <w:p>
      <w:r>
        <w:rPr>
          <w:i/>
          <w:color w:val="666666"/>
          <w:sz w:val="18"/>
        </w:rPr>
        <w:t>Mutesi JS et al.  ·  BMC Health Serv Res  ·  22.07.2026  ·  PMID 42897540</w:t>
      </w:r>
    </w:p>
    <w:p>
      <w:r>
        <w:t>Qualitative Studie mit 46 Interviews (16 Patienten, 30 Angehörige) zu Wahrnehmungen und psychosozialen Barrieren gegenüber Sauerstofftherapie.</w:t>
      </w:r>
    </w:p>
    <w:p>
      <w:r>
        <w:rPr>
          <w:b/>
        </w:rPr>
        <w:t xml:space="preserve">Ergebnis: </w:t>
      </w:r>
      <w:r>
        <w:t>Kernbefunde: Sauerstoff wahrgenommen als lebensrettend, aber angstauslösend; oft als Symbol des bevorstehenden Todes interpretiert; spirituelle und emotionale Deutungen häufig (Angst, Besorgnis); Patienten und Angehörige berichten ähnliche Wahrnehmungen. Informationen stammen aus Schulen, Gemeinschaft, Krankenhaus, Internet.</w:t>
      </w:r>
    </w:p>
    <w:p>
      <w:r>
        <w:rPr>
          <w:b/>
          <w:sz w:val="19"/>
        </w:rPr>
        <w:t xml:space="preserve">Übertragbarkeit: </w:t>
      </w:r>
      <w:r>
        <w:rPr>
          <w:sz w:val="19"/>
        </w:rPr>
        <w:t>Uganda, Ressourcenlimitiertes Setting; Patientenperspektive und Barrieren bei Therapie-Adhärenz systemunabhängig relevant</w:t>
      </w:r>
    </w:p>
    <w:p>
      <w:r>
        <w:rPr>
          <w:color w:val="5A7D3A"/>
          <w:sz w:val="18"/>
        </w:rPr>
        <w:t>https://pubmed.ncbi.nlm.nih.gov/42897540/</w:t>
      </w:r>
    </w:p>
    <w:p>
      <w:pPr>
        <w:pStyle w:val="Heading1"/>
      </w:pPr>
      <w:r>
        <w:t>Aufgenommen am 21.10.2026</w:t>
      </w:r>
    </w:p>
    <w:p>
      <w:pPr>
        <w:pStyle w:val="Heading2"/>
      </w:pPr>
      <w:r>
        <w:t>Pestizidexposition und Gesundheitsfolgen: Kohortenstudie mit niederländischen Primärversorgungsdaten</w:t>
      </w:r>
    </w:p>
    <w:p>
      <w:r>
        <w:rPr>
          <w:i/>
          <w:color w:val="666666"/>
          <w:sz w:val="18"/>
        </w:rPr>
        <w:t>Steenhof T et al.  ·  BMJ Open  ·  20.10.2026  ·  PMID 42901572</w:t>
      </w:r>
    </w:p>
    <w:p>
      <w:r>
        <w:t>Niederländische Kohortenstudie untersucht Zusammenhang zwischen Wohnungsexposition gegenüber Pflanzenschutzmitteln und akuten sowie chronischen Gesundheitsergebnissen.</w:t>
      </w:r>
    </w:p>
    <w:p>
      <w:r>
        <w:rPr>
          <w:b/>
        </w:rPr>
        <w:t xml:space="preserve">Ergebnis: </w:t>
      </w:r>
      <w:r>
        <w:t>Studienprotokoll beschreibt geplante Nutzung von 3,7 Millionen Primärversorgungsdatensätzen aus NIVEL-Datenbank; keine Ergebnisse, aber systematische Methodik für Versorgungsforschung etabliert.</w:t>
      </w:r>
    </w:p>
    <w:p>
      <w:r>
        <w:rPr>
          <w:b/>
          <w:sz w:val="19"/>
        </w:rPr>
        <w:t xml:space="preserve">Übertragbarkeit: </w:t>
      </w:r>
      <w:r>
        <w:rPr>
          <w:sz w:val="19"/>
        </w:rPr>
        <w:t>Niederlande, Primärversorgungsdaten, hohes Übertragungspotenzial auf deutsches System</w:t>
      </w:r>
    </w:p>
    <w:p>
      <w:r>
        <w:rPr>
          <w:color w:val="5A7D3A"/>
          <w:sz w:val="18"/>
        </w:rPr>
        <w:t>https://pubmed.ncbi.nlm.nih.gov/42901572/</w:t>
      </w:r>
    </w:p>
    <w:p>
      <w:pPr>
        <w:pStyle w:val="Heading2"/>
      </w:pPr>
      <w:r>
        <w:t>Patientenbeteiligung an klinischer Dokumentation durch Kommentarfunktion in EHR</w:t>
      </w:r>
    </w:p>
    <w:p>
      <w:r>
        <w:rPr>
          <w:i/>
          <w:color w:val="666666"/>
          <w:sz w:val="18"/>
        </w:rPr>
        <w:t>Hagström J et al.  ·  J Med Internet Res  ·  20.10.2026  ·  PMID 42901489</w:t>
      </w:r>
    </w:p>
    <w:p>
      <w:r>
        <w:t>Schwedische Studie analysierte 1.655 Patientenkommentare in elektronischen Gesundheitsakten auf Nutzung, Inhalt und Sentiment.</w:t>
      </w:r>
    </w:p>
    <w:p>
      <w:r>
        <w:rPr>
          <w:b/>
        </w:rPr>
        <w:t xml:space="preserve">Ergebnis: </w:t>
      </w:r>
      <w:r>
        <w:t>57,3% der Kommentare bezogen sich nicht auf Noten selbst; 55,6% waren neutral, 42,4% negativ. Patienten mit psychischen Erkrankungen hinterließen mehr Kommentare (Median 7 vs. 2) mit höherem Negativanteil (63,2% vs. 33,5%, p&lt;0,001).</w:t>
      </w:r>
    </w:p>
    <w:p>
      <w:r>
        <w:rPr>
          <w:b/>
          <w:sz w:val="19"/>
        </w:rPr>
        <w:t xml:space="preserve">Übertragbarkeit: </w:t>
      </w:r>
      <w:r>
        <w:rPr>
          <w:sz w:val="19"/>
        </w:rPr>
        <w:t>Schweden, Sozialversicherungssystem; Fragestellung zu Patientenengagement systemunabhängig</w:t>
      </w:r>
    </w:p>
    <w:p>
      <w:r>
        <w:rPr>
          <w:color w:val="5A7D3A"/>
          <w:sz w:val="18"/>
        </w:rPr>
        <w:t>https://pubmed.ncbi.nlm.nih.gov/42901489/</w:t>
      </w:r>
    </w:p>
    <w:p>
      <w:pPr>
        <w:pStyle w:val="Heading2"/>
      </w:pPr>
      <w:r>
        <w:t>Kosten und Outcomes von Status epilepticus in Deutschland</w:t>
      </w:r>
    </w:p>
    <w:p>
      <w:r>
        <w:rPr>
          <w:i/>
          <w:color w:val="666666"/>
          <w:sz w:val="18"/>
        </w:rPr>
        <w:t>Jünemann C et al.  ·  Eur J Neurol  ·  Okt. 2026  ·  PMID 42899468</w:t>
      </w:r>
    </w:p>
    <w:p>
      <w:r>
        <w:t>Deutsche prospektive Populationsstudie analysierte 181 Patienten mit neu definiertem Status epilepticus bezüglich Verweildauer, Kosten und Einflussfaktoren.</w:t>
      </w:r>
    </w:p>
    <w:p>
      <w:r>
        <w:rPr>
          <w:b/>
        </w:rPr>
        <w:t xml:space="preserve">Ergebnis: </w:t>
      </w:r>
      <w:r>
        <w:t>Mittlere stationäre Kosten €10.543 (Median €6.376), Verweildauer 11 Tage (Median 9). Super-refraktärer Status: signifikant höhere Kosten und längere Verweildauer (p&lt;0,001). Mechanische Beatmung stärkster unabhängiger Kostenprädiktor (Exp(B)=2,918, p&lt;0,001).</w:t>
      </w:r>
    </w:p>
    <w:p>
      <w:r>
        <w:rPr>
          <w:b/>
          <w:sz w:val="19"/>
        </w:rPr>
        <w:t xml:space="preserve">Übertragbarkeit: </w:t>
      </w:r>
      <w:r>
        <w:rPr>
          <w:sz w:val="19"/>
        </w:rPr>
        <w:t>Deutsche Routinedaten, G-DRG-Kalkulation, direkt übertragbar auf hiesiges System</w:t>
      </w:r>
    </w:p>
    <w:p>
      <w:r>
        <w:rPr>
          <w:color w:val="5A7D3A"/>
          <w:sz w:val="18"/>
        </w:rPr>
        <w:t>https://pubmed.ncbi.nlm.nih.gov/42899468/</w:t>
      </w:r>
    </w:p>
    <w:p>
      <w:pPr>
        <w:pStyle w:val="Heading2"/>
      </w:pPr>
      <w:r>
        <w:t>Effekt von Langzeitpflegezugang auf Kurzeitpflege: Simulationsstudie</w:t>
      </w:r>
    </w:p>
    <w:p>
      <w:r>
        <w:rPr>
          <w:i/>
          <w:color w:val="666666"/>
          <w:sz w:val="18"/>
        </w:rPr>
        <w:t>Aydemir I et al.  ·  BMC Health Serv Res  ·  22.07.2026  ·  PMID 42897634</w:t>
      </w:r>
    </w:p>
    <w:p>
      <w:r>
        <w:t>Niederländische Diskrete-Ereignis-Simulationsstudie modelliert Effekte zentralisierter vs. dezentralisierter Aufnahmepolitik für Pflegebetten auf Wartezeiten und Inanspruchnahme.</w:t>
      </w:r>
    </w:p>
    <w:p>
      <w:r>
        <w:rPr>
          <w:b/>
        </w:rPr>
        <w:t xml:space="preserve">Ergebnis: </w:t>
      </w:r>
      <w:r>
        <w:t>Zentralisierte Aufnahmepolitik reduziert Wartezeiten von 336 auf 35 Tage und Kurzeitpflege-Aufnahmen von 45% auf 4,5%. Bei 90% regionaler Bettenauslastung maximal wirksam; Multiplier-Effekt bei erhöhtem Nicht-Langzeitpflege-Zustrom.</w:t>
      </w:r>
    </w:p>
    <w:p>
      <w:r>
        <w:rPr>
          <w:b/>
          <w:sz w:val="19"/>
        </w:rPr>
        <w:t xml:space="preserve">Übertragbarkeit: </w:t>
      </w:r>
      <w:r>
        <w:rPr>
          <w:sz w:val="19"/>
        </w:rPr>
        <w:t>Niederlande, Pflegesystem strukturell vergleichbar; Fragestellung zu Ressourcenallokation relevant</w:t>
      </w:r>
    </w:p>
    <w:p>
      <w:r>
        <w:rPr>
          <w:color w:val="5A7D3A"/>
          <w:sz w:val="18"/>
        </w:rPr>
        <w:t>https://pubmed.ncbi.nlm.nih.gov/42897634/</w:t>
      </w:r>
    </w:p>
    <w:p>
      <w:pPr>
        <w:pStyle w:val="Heading2"/>
      </w:pPr>
      <w:r>
        <w:t>Index für Integration von Palliativversorgung in Primärversorgung</w:t>
      </w:r>
    </w:p>
    <w:p>
      <w:r>
        <w:rPr>
          <w:i/>
          <w:color w:val="666666"/>
          <w:sz w:val="18"/>
        </w:rPr>
        <w:t>Muñoz Olivar C et al.  ·  BMC Health Serv Res  ·  23.07.2026  ·  PMID 42897626</w:t>
      </w:r>
    </w:p>
    <w:p>
      <w:r>
        <w:t>Kolumbianische Studie entwickelt und validiert Synthetic Index of Palliative Care Integration (SIPCI) zur Messung territorialer Integrationsmuster in 33 Departments.</w:t>
      </w:r>
    </w:p>
    <w:p>
      <w:r>
        <w:rPr>
          <w:b/>
        </w:rPr>
        <w:t xml:space="preserve">Ergebnis: </w:t>
      </w:r>
      <w:r>
        <w:t>SIPCI-Werte 0,04–0,71 (Mittelwert 0,38). 52% der Departments niedriges/mittleres, 48% mittleres-hohes/hohes Integrationsniveau. Starker geografischer Gradient; KMO=0,742, geringe Informationsverluste (NMSE=0,13).</w:t>
      </w:r>
    </w:p>
    <w:p>
      <w:r>
        <w:rPr>
          <w:b/>
          <w:sz w:val="19"/>
        </w:rPr>
        <w:t xml:space="preserve">Übertragbarkeit: </w:t>
      </w:r>
      <w:r>
        <w:rPr>
          <w:sz w:val="19"/>
        </w:rPr>
        <w:t>Kolumbien, aber SIPCI-Methodik auf europäische Systeme übertragbar; Fragestellung systemunabhängig</w:t>
      </w:r>
    </w:p>
    <w:p>
      <w:r>
        <w:rPr>
          <w:color w:val="5A7D3A"/>
          <w:sz w:val="18"/>
        </w:rPr>
        <w:t>https://pubmed.ncbi.nlm.nih.gov/42897626/</w:t>
      </w:r>
    </w:p>
    <w:p>
      <w:pPr>
        <w:pStyle w:val="Heading2"/>
      </w:pPr>
      <w:r>
        <w:t>Bedürfnisse von Patienten mit fortgeschrittener COPD und Angehörigen</w:t>
      </w:r>
    </w:p>
    <w:p>
      <w:r>
        <w:rPr>
          <w:i/>
          <w:color w:val="666666"/>
          <w:sz w:val="18"/>
        </w:rPr>
        <w:t>Schmidt-Stiedenroth K et al.  ·  BMC Pulm Med  ·  19.10.2026  ·  PMID 42897575</w:t>
      </w:r>
    </w:p>
    <w:p>
      <w:r>
        <w:t>Deutsche qualitative Multisicht-Studie mit 53 Interviews (Patienten, informelle und formale Pflegepersonen) zu Versorgungsbedürfnissen und Rolle von Palliativversorgung.</w:t>
      </w:r>
    </w:p>
    <w:p>
      <w:r>
        <w:rPr>
          <w:b/>
        </w:rPr>
        <w:t xml:space="preserve">Ergebnis: </w:t>
      </w:r>
      <w:r>
        <w:t>Sechs Bedarfsbereiche identifiziert: Dyspnoe-/Angstmanagement, Heimversorgung, Notfallplanung, psychosoziale Versorgung, organisatorische Unterstützung, Gesundheitsinformation. Patienten mit Palliativversorgung berichteten Linderung in den ersten fünf Bereichen.</w:t>
      </w:r>
    </w:p>
    <w:p>
      <w:r>
        <w:rPr>
          <w:b/>
          <w:sz w:val="19"/>
        </w:rPr>
        <w:t xml:space="preserve">Übertragbarkeit: </w:t>
      </w:r>
      <w:r>
        <w:rPr>
          <w:sz w:val="19"/>
        </w:rPr>
        <w:t>Deutschland, deutsche Primärdaten; direkt für hiesiges System relevant</w:t>
      </w:r>
    </w:p>
    <w:p>
      <w:r>
        <w:rPr>
          <w:color w:val="5A7D3A"/>
          <w:sz w:val="18"/>
        </w:rPr>
        <w:t>https://pubmed.ncbi.nlm.nih.gov/42897575/</w:t>
      </w:r>
    </w:p>
    <w:p>
      <w:pPr>
        <w:pStyle w:val="Heading1"/>
      </w:pPr>
      <w:r>
        <w:t>Aufgenommen am 20.10.2026</w:t>
      </w:r>
    </w:p>
    <w:p>
      <w:pPr>
        <w:pStyle w:val="Heading2"/>
      </w:pPr>
      <w:r>
        <w:t>Aussagekraft von Diabetes-Indikatoren: Verschreibungs- vs. Screeningdaten in Japan</w:t>
      </w:r>
    </w:p>
    <w:p>
      <w:r>
        <w:rPr>
          <w:i/>
          <w:color w:val="666666"/>
          <w:sz w:val="18"/>
        </w:rPr>
        <w:t>Saito H et al.  ·  Diabet Med  ·  19.10.2026  ·  PMID 42895806</w:t>
      </w:r>
    </w:p>
    <w:p>
      <w:r>
        <w:t>Querschnittsökologische Analyse japanischer Verwaltungsdaten zur Untersuchung, was zwei komplementäre Indikatorfamilien – Antidiabetika-Verordnungsmengen und HbA1c-Kontrollenindikatoren – über Diabeteslast tatsächlich abbilden.</w:t>
      </w:r>
    </w:p>
    <w:p>
      <w:r>
        <w:rPr>
          <w:b/>
        </w:rPr>
        <w:t xml:space="preserve">Ergebnis: </w:t>
      </w:r>
      <w:r>
        <w:t>Verordnungsmengen (Indikator A) korrelierte hauptsächlich mit Alter und Einkommen (finales Modell R² = 0,394); HbA1c-Hochwertraten (Indikator B) zeigten selektive ökologische Assoziation mit chronischer Dialysetherapie (β = 195,1 pro Prozentpunkt, p = 0,006, R² = 0,271). Beide Indikatorfamilien spiegeln nicht die tatsächliche Krankheitslast, sondern demografische Strukturen bzw. nachgelagerte Versorgungsnutzung wider.</w:t>
      </w:r>
    </w:p>
    <w:p>
      <w:r>
        <w:rPr>
          <w:b/>
          <w:sz w:val="19"/>
        </w:rPr>
        <w:t xml:space="preserve">Übertragbarkeit: </w:t>
      </w:r>
      <w:r>
        <w:rPr>
          <w:sz w:val="19"/>
        </w:rPr>
        <w:t>Japan, vergleichbar mit verweildauerintensiven Gesundheitssystemen; versorgungsrelevante Analyse von Verwaltungsindikatoren</w:t>
      </w:r>
    </w:p>
    <w:p>
      <w:r>
        <w:rPr>
          <w:color w:val="5A7D3A"/>
          <w:sz w:val="18"/>
        </w:rPr>
        <w:t>https://pubmed.ncbi.nlm.nih.gov/42895806/</w:t>
      </w:r>
    </w:p>
    <w:p>
      <w:pPr>
        <w:pStyle w:val="Heading2"/>
      </w:pPr>
      <w:r>
        <w:t>Gynäkologische Facharztausbildung: Urbanisierung und Folgen für ländliche Regionen</w:t>
      </w:r>
    </w:p>
    <w:p>
      <w:r>
        <w:rPr>
          <w:i/>
          <w:color w:val="666666"/>
          <w:sz w:val="18"/>
        </w:rPr>
        <w:t>Spencer R et al.  ·  J Rural Health  ·  Sept. 2026  ·  PMID 42895080</w:t>
      </w:r>
    </w:p>
    <w:p>
      <w:r>
        <w:t>Analyse der geografischen Verteilung von Gynäkologie-Weiterbildungsprogrammen in den USA und Vergleich von Merkmalen ländlicher Landkreise mit und ohne Weiterbildungsstandorte.</w:t>
      </w:r>
    </w:p>
    <w:p>
      <w:r>
        <w:rPr>
          <w:b/>
        </w:rPr>
        <w:t xml:space="preserve">Ergebnis: </w:t>
      </w:r>
      <w:r>
        <w:t>Nur 6,5 % der 294 Weiterbildungsprogramme boten ländliche Trainingsplätze an (2,4 % aller Standorte); ländliche Landkreise ohne Weiterbildungsstätte zeigten höhere Anteile unversicherter Personen unter 65 Jahren (11,5 % vs. 8,0 %, p &lt; 0,001), niedrigere Hausarztdichte (40,6 vs. 55,1 pro 100.000, p = 0,005) und höhere Health Professional Shortage Area-Quoten (69,0 % vs. 35,3 %, p &lt; 0,001).</w:t>
      </w:r>
    </w:p>
    <w:p>
      <w:r>
        <w:rPr>
          <w:b/>
          <w:sz w:val="19"/>
        </w:rPr>
        <w:t xml:space="preserve">Übertragbarkeit: </w:t>
      </w:r>
      <w:r>
        <w:rPr>
          <w:sz w:val="19"/>
        </w:rPr>
        <w:t>USA-Daten; Fragestellung zur Verfügbarkeit spezialisierter Ausbildung in unterversorgten Regionen systemunabhängig bedeutsam</w:t>
      </w:r>
    </w:p>
    <w:p>
      <w:r>
        <w:rPr>
          <w:color w:val="5A7D3A"/>
          <w:sz w:val="18"/>
        </w:rPr>
        <w:t>https://pubmed.ncbi.nlm.nih.gov/42895080/</w:t>
      </w:r>
    </w:p>
    <w:p>
      <w:pPr>
        <w:pStyle w:val="Heading2"/>
      </w:pPr>
      <w:r>
        <w:t>Kerndomänen und Messinstrumente für axiale Spondylarthritis in der Klinik</w:t>
      </w:r>
    </w:p>
    <w:p>
      <w:r>
        <w:rPr>
          <w:i/>
          <w:color w:val="666666"/>
          <w:sz w:val="18"/>
        </w:rPr>
        <w:t>Smits ML et al.  ·  EULAR Rheumatol Open  ·  07.10.2026  ·  PMID 42894661</w:t>
      </w:r>
    </w:p>
    <w:p>
      <w:r>
        <w:t>Delphi-Befragung mit Fachleuten, Nicht-Fachleuten und Patienten zur Identifizierung der wichtigsten Bewertungsdomänen und Instrumente für die klinische Praxis bei axialer Spondylarthritis.</w:t>
      </w:r>
    </w:p>
    <w:p>
      <w:r>
        <w:rPr>
          <w:b/>
        </w:rPr>
        <w:t xml:space="preserve">Ergebnis: </w:t>
      </w:r>
      <w:r>
        <w:t>Nach vier Delphi-Runden wurden 5 Domänen für Routinevisiten (Krankheitsaktivität, Schmerz, periphere Manifestationen, extra-muskuloskelettale Manifestationen, Therapieaspekte) und 4 ergänzende Domänen für erweiterte Visiten identifiziert; für jede Domäne mindestens ein empfohlenes Instrument ausgewählt. Beteiligung: 156 ASAS-Mitglieder (78 % der 201 Eingeladenen), 173 nicht-ASAS-Rheumatologen und 167 Patienten in Runde 1.</w:t>
      </w:r>
    </w:p>
    <w:p>
      <w:r>
        <w:rPr>
          <w:b/>
          <w:sz w:val="19"/>
        </w:rPr>
        <w:t xml:space="preserve">Übertragbarkeit: </w:t>
      </w:r>
      <w:r>
        <w:rPr>
          <w:sz w:val="19"/>
        </w:rPr>
        <w:t>Europäisches Expertenkonsens-Verfahren; relevant für deutschsprachige Praxis</w:t>
      </w:r>
    </w:p>
    <w:p>
      <w:r>
        <w:rPr>
          <w:color w:val="5A7D3A"/>
          <w:sz w:val="18"/>
        </w:rPr>
        <w:t>https://pubmed.ncbi.nlm.nih.gov/42894661/</w:t>
      </w:r>
    </w:p>
    <w:p>
      <w:pPr>
        <w:pStyle w:val="Heading2"/>
      </w:pPr>
      <w:r>
        <w:t>Unterstützung von Vätern nach perinataler Traumatisierung – partizipativ entwickelte Handlungsprinzipien</w:t>
      </w:r>
    </w:p>
    <w:p>
      <w:r>
        <w:rPr>
          <w:i/>
          <w:color w:val="666666"/>
          <w:sz w:val="18"/>
        </w:rPr>
        <w:t>Kothari A et al.  ·  Med J Aust  ·  Okt. 2026  ·  PMID 42894362</w:t>
      </w:r>
    </w:p>
    <w:p>
      <w:r>
        <w:t>Partizipative Aktionsforschung zur Entwicklung von Best-Practice-Prinzipien für die Versorgung von Vätern und nicht-gebärenden Elternteilen, die perinatales Trauma erfahren haben.</w:t>
      </w:r>
    </w:p>
    <w:p>
      <w:r>
        <w:rPr>
          <w:b/>
        </w:rPr>
        <w:t xml:space="preserve">Ergebnis: </w:t>
      </w:r>
      <w:r>
        <w:t>Aus 24 initialen Themen wurden 4 Kernprinzipien konsensual erarbeitet: (1) mitfühlende und inklusive Engagement, (2) Politik- und Gesetzesreform, (3) Bildungs- und Lernchancen, (4) psychische Gesundheit-Screening und -Unterstützung. Beteiligung: 11 Konsumenten mit Erfahrung, 30 Fachpersonen, Validierung mit 74 Teilnehmern aus diversen Hintergründen.</w:t>
      </w:r>
    </w:p>
    <w:p>
      <w:r>
        <w:rPr>
          <w:b/>
          <w:sz w:val="19"/>
        </w:rPr>
        <w:t xml:space="preserve">Übertragbarkeit: </w:t>
      </w:r>
      <w:r>
        <w:rPr>
          <w:sz w:val="19"/>
        </w:rPr>
        <w:t>Australien; qualitative Partizipationsforschung zu Versorgungslücken systemunabhängig relevant</w:t>
      </w:r>
    </w:p>
    <w:p>
      <w:r>
        <w:rPr>
          <w:color w:val="5A7D3A"/>
          <w:sz w:val="18"/>
        </w:rPr>
        <w:t>https://pubmed.ncbi.nlm.nih.gov/42894362/</w:t>
      </w:r>
    </w:p>
    <w:p>
      <w:pPr>
        <w:pStyle w:val="Heading2"/>
      </w:pPr>
      <w:r>
        <w:t>Telemedizin in Intensivmedizin: Auswirkungen auf Interhospitaltransfers</w:t>
      </w:r>
    </w:p>
    <w:p>
      <w:r>
        <w:rPr>
          <w:i/>
          <w:color w:val="666666"/>
          <w:sz w:val="18"/>
        </w:rPr>
        <w:t>Rai K et al.  ·  Crit Care Med  ·  15.10.2026  ·  PMID 42878611</w:t>
      </w:r>
    </w:p>
    <w:p>
      <w:r>
        <w:t>Retrospektive Kohortenstudie mit Medicare-Daten (2021–2023) zur Untersuchung, ob Tele-ICU-Fähigkeit an Index-Kliniken mit Interhospitaltransfers und potenziell niedrigwertigen Transfers assoziiert ist.</w:t>
      </w:r>
    </w:p>
    <w:p>
      <w:r>
        <w:rPr>
          <w:b/>
        </w:rPr>
        <w:t xml:space="preserve">Ergebnis: </w:t>
      </w:r>
      <w:r>
        <w:t>Unter 2.140.919 ICU-Aufenthalten war die absolute Transferrate ähnlich (2,5 % vs. 3,0 %), jedoch war Tele-ICU-Fähigkeit mit erhöhten Transferquoten assoziiert (bereinigtes OR 1,08; 95%-KI 1,01–1,14). Transferpatienten von Tele-ICU-Krankenhäusern zeigten seltener Versterben oder Hospiz innerhalb 1 Tag nach Transfer (4,6 % vs. 6,6 %; aOR 0,86; 95%-KI 0,76–0,97) und häufiger Entlassung nach Hause (4,7 % vs. 3,7 %; aOR 1,17; 95%-KI 1,03–1,33).</w:t>
      </w:r>
    </w:p>
    <w:p>
      <w:r>
        <w:rPr>
          <w:b/>
          <w:sz w:val="19"/>
        </w:rPr>
        <w:t xml:space="preserve">Übertragbarkeit: </w:t>
      </w:r>
      <w:r>
        <w:rPr>
          <w:sz w:val="19"/>
        </w:rPr>
        <w:t>USA Medicare; Fragestellung zu Technologieeinsatz und Transfer-Steuerung nur bedingt übertragbar</w:t>
      </w:r>
    </w:p>
    <w:p>
      <w:r>
        <w:rPr>
          <w:color w:val="5A7D3A"/>
          <w:sz w:val="18"/>
        </w:rPr>
        <w:t>https://pubmed.ncbi.nlm.nih.gov/42878611/</w:t>
      </w:r>
    </w:p>
    <w:p>
      <w:pPr>
        <w:pStyle w:val="Heading2"/>
      </w:pPr>
      <w:r>
        <w:t>Umwelt-Sanitation und Gesundheitsversorgungskapazität: Umsetzungslücken in chinesischen Städten</w:t>
      </w:r>
    </w:p>
    <w:p>
      <w:r>
        <w:rPr>
          <w:i/>
          <w:color w:val="666666"/>
          <w:sz w:val="18"/>
        </w:rPr>
        <w:t>Peng Z et al.  ·  BMC Health Serv Res  ·  25.08.2026  ·  PMID 42875776</w:t>
      </w:r>
    </w:p>
    <w:p>
      <w:r>
        <w:t>Panel-Analyse chinesischer Präfektur- und übergeordneter Städte (2002–2024) zur Untersuchung, ob Verbesserungen in Öko-Sanitation in erhöhte Gesundheitsversorgungskapazität konvertiert werden.</w:t>
      </w:r>
    </w:p>
    <w:p>
      <w:r>
        <w:rPr>
          <w:b/>
        </w:rPr>
        <w:t xml:space="preserve">Ergebnis: </w:t>
      </w:r>
      <w:r>
        <w:t>Das Basis-Zwei-Wege-Modell zeigte keine stabile positive Assoziation zwischen Öko-Sanitation-Verbesserung und Versorgungskapazität. Dimensionsspezifische Analysen offenbarten unterschiedliche Rollen: Positive Assoziation mit Umweltbelastungsindex konsistent mit nachfrageinduzierten oder kompensatorischen Ressourcenallokationen. Weder 2–3 Jahre verzögerte Umwelteffekte noch 1–2 Jahre verzögerte Investitionseffekte zeigten stabile Transmissionsketten. Interpretable Machine Learning identifizierte nichtlineare Grenzen und Einfluss von Entwicklungsstadium, Bevölkerungsgröße und Fiskalkompetenz.</w:t>
      </w:r>
    </w:p>
    <w:p>
      <w:r>
        <w:rPr>
          <w:b/>
          <w:sz w:val="19"/>
        </w:rPr>
        <w:t xml:space="preserve">Übertragbarkeit: </w:t>
      </w:r>
      <w:r>
        <w:rPr>
          <w:sz w:val="19"/>
        </w:rPr>
        <w:t>China; Health Services Research zu Investitions-Wirkketten in Gesundheitssystemen mit begrenzt übertragbaren Kontexten</w:t>
      </w:r>
    </w:p>
    <w:p>
      <w:r>
        <w:rPr>
          <w:color w:val="5A7D3A"/>
          <w:sz w:val="18"/>
        </w:rPr>
        <w:t>https://pubmed.ncbi.nlm.nih.gov/42875776/</w:t>
      </w:r>
    </w:p>
    <w:p>
      <w:pPr>
        <w:pStyle w:val="Heading1"/>
      </w:pPr>
      <w:r>
        <w:t>Aufgenommen am 19.10.2026</w:t>
      </w:r>
    </w:p>
    <w:p>
      <w:pPr>
        <w:pStyle w:val="Heading2"/>
      </w:pPr>
      <w:r>
        <w:t>Inanspruchnahme von Gesundheitsleistungen bei Demenz: Medicare Advantage vs. Traditional Medicare</w:t>
      </w:r>
    </w:p>
    <w:p>
      <w:r>
        <w:rPr>
          <w:i/>
          <w:color w:val="666666"/>
          <w:sz w:val="18"/>
        </w:rPr>
        <w:t>Joseph JM et al.  ·  Health Serv Res  ·  Okt. 2026  ·  PMID 42885186</w:t>
      </w:r>
    </w:p>
    <w:p>
      <w:r>
        <w:t>Vergleichende Analyse der Gesundheitsleistungsnutzung zwischen Medicare-Advantage- und Traditional-Medicare-Versicherten, stratifiziert nach Demenzstatus (ADRD).</w:t>
      </w:r>
    </w:p>
    <w:p>
      <w:r>
        <w:rPr>
          <w:b/>
        </w:rPr>
        <w:t xml:space="preserve">Ergebnis: </w:t>
      </w:r>
      <w:r>
        <w:t>Bei Versicherten mit ADRD waren sieben von acht adjustierten Unterschiede nicht signifikant. Spezialistenbesuche waren bei MA mit ADRD häufiger (5,2 Prozentpunkte, 95%-KI -0,1 bis 10,2). Ohne ADRD war MA mit niedrigeren stationären ambulanten Besuchen (-2,6; -3,7 bis -1,6) und weniger Bedarf für häusliche Krankenpflege (-0,9; -1,5 bis -0,3) assoziiert.</w:t>
      </w:r>
    </w:p>
    <w:p>
      <w:r>
        <w:rPr>
          <w:b/>
          <w:sz w:val="19"/>
        </w:rPr>
        <w:t xml:space="preserve">Übertragbarkeit: </w:t>
      </w:r>
      <w:r>
        <w:rPr>
          <w:sz w:val="19"/>
        </w:rPr>
        <w:t>US-Daten; Fragestellung zu Leistungsunterschieden aber systemunabhängig relevant</w:t>
      </w:r>
    </w:p>
    <w:p>
      <w:r>
        <w:rPr>
          <w:color w:val="5A7D3A"/>
          <w:sz w:val="18"/>
        </w:rPr>
        <w:t>https://pubmed.ncbi.nlm.nih.gov/42885186/</w:t>
      </w:r>
    </w:p>
    <w:p>
      <w:pPr>
        <w:pStyle w:val="Heading2"/>
      </w:pPr>
      <w:r>
        <w:t>Patientenperspektiven zu Notaufnahme vs. Hausarzt: qualitative Analyse des GPFirst-Programms</w:t>
      </w:r>
    </w:p>
    <w:p>
      <w:r>
        <w:rPr>
          <w:i/>
          <w:color w:val="666666"/>
          <w:sz w:val="18"/>
        </w:rPr>
        <w:t>Lee CYR et al.  ·  Singapore Med J  ·  15.10.2026  ·  PMID 42879300</w:t>
      </w:r>
    </w:p>
    <w:p>
      <w:r>
        <w:t>Qualitative Studie mit 16 Tiefeninterviews zu Determinanten der Arztwahl bei nicht-dringlichen Erkrankungen und zur Akzeptanz eines Steuerungsprogramms (GPFirst).</w:t>
      </w:r>
    </w:p>
    <w:p>
      <w:r>
        <w:rPr>
          <w:b/>
        </w:rPr>
        <w:t xml:space="preserve">Ergebnis: </w:t>
      </w:r>
      <w:r>
        <w:t>Vier Hauptthemen identifiziert: (1) Bestimmungsfaktoren der Arztwahl (wahrgenommene Schwere, Vertrauen in Krankenhausressourcen, Öffnungszeiten); (2) ED-Präferenz vs. GP-Vorzüge (Wartezeiten, Zugänglichkeit, personalisierte Versorgung); (3) GPFirst-Teilnahmebereitschaft trotz Barrieren (schlechte Selbsteinschätzung, mangelndes Wissen); (4) Verbesserungsvorschläge (Bewusstseinsförderung, Prozessklarheit, Anreizverstärkung).</w:t>
      </w:r>
    </w:p>
    <w:p>
      <w:r>
        <w:rPr>
          <w:b/>
          <w:sz w:val="19"/>
        </w:rPr>
        <w:t xml:space="preserve">Übertragbarkeit: </w:t>
      </w:r>
      <w:r>
        <w:rPr>
          <w:sz w:val="19"/>
        </w:rPr>
        <w:t>Singapur-Studie; Steuerungsmechanismen bei hausarztlicher Gatekeeper-Funktion übertragbar</w:t>
      </w:r>
    </w:p>
    <w:p>
      <w:r>
        <w:rPr>
          <w:color w:val="5A7D3A"/>
          <w:sz w:val="18"/>
        </w:rPr>
        <w:t>https://pubmed.ncbi.nlm.nih.gov/42879300/</w:t>
      </w:r>
    </w:p>
    <w:p>
      <w:pPr>
        <w:pStyle w:val="Heading2"/>
      </w:pPr>
      <w:r>
        <w:t>Kardiovaskuläre Gesundheit und Nierenversagen: Life's Essential 8 als Risikofaktor</w:t>
      </w:r>
    </w:p>
    <w:p>
      <w:r>
        <w:rPr>
          <w:i/>
          <w:color w:val="666666"/>
          <w:sz w:val="18"/>
        </w:rPr>
        <w:t>Ma C et al.  ·  Clin J Am Soc Nephrol  ·  15.10.2026  ·  PMID 42879211</w:t>
      </w:r>
    </w:p>
    <w:p>
      <w:r>
        <w:t>Prospektive Kohortenstudie zur Assoziation zwischen Life's Essential 8 (CVH-Metrik) und Inzidenz von Nierenersatztherapie-Bedürftigkeit (ESKD) in 276.494 Biobank-Teilnehmern.</w:t>
      </w:r>
    </w:p>
    <w:p>
      <w:r>
        <w:rPr>
          <w:b/>
        </w:rPr>
        <w:t xml:space="preserve">Ergebnis: </w:t>
      </w:r>
      <w:r>
        <w:t>Jeder 10-Punkte-Rückgang im LE8-Score erhöhte ESKD-Risiko (HR 1,47; 95%-KI 1,34–1,60). Niedriger LE8 war mit über fünffach erhöhtem Risiko assoziiert (HR 5,57; 95%-KI 3,42–9,07) vs. hohem LE8. Blutdruck und Blutglukose hatten größte populationsattribuierbare Fraktionen.</w:t>
      </w:r>
    </w:p>
    <w:p>
      <w:r>
        <w:rPr>
          <w:b/>
          <w:sz w:val="19"/>
        </w:rPr>
        <w:t xml:space="preserve">Übertragbarkeit: </w:t>
      </w:r>
      <w:r>
        <w:rPr>
          <w:sz w:val="19"/>
        </w:rPr>
        <w:t>UK-Daten; Primärversorgung und präventive Ansätze übertragbar</w:t>
      </w:r>
    </w:p>
    <w:p>
      <w:r>
        <w:rPr>
          <w:color w:val="5A7D3A"/>
          <w:sz w:val="18"/>
        </w:rPr>
        <w:t>https://pubmed.ncbi.nlm.nih.gov/42879211/</w:t>
      </w:r>
    </w:p>
    <w:p>
      <w:pPr>
        <w:pStyle w:val="Heading2"/>
      </w:pPr>
      <w:r>
        <w:t>Validität von EQ-5D-5L und EQ-HWB-9 zur Messung von Carer-Outcomes in gesundheitsökonomischen Evaluationen</w:t>
      </w:r>
    </w:p>
    <w:p>
      <w:r>
        <w:rPr>
          <w:i/>
          <w:color w:val="666666"/>
          <w:sz w:val="18"/>
        </w:rPr>
        <w:t>Faller J et al.  ·  Qual Life Res  ·  15.10.2026  ·  PMID 42879005</w:t>
      </w:r>
    </w:p>
    <w:p>
      <w:r>
        <w:t>Psychometrische Bewertung zweier Nutzen-Messinstrumente (EQ-5D-5L, EQ-HWB-9) bei 6.743 pflegenden Angehörigen aus fünf englischsprachigen Ländern.</w:t>
      </w:r>
    </w:p>
    <w:p>
      <w:r>
        <w:rPr>
          <w:b/>
        </w:rPr>
        <w:t xml:space="preserve">Ergebnis: </w:t>
      </w:r>
      <w:r>
        <w:t>EQ-5D-5L zeigte Deckeneffekt (19%), EQ-HWB-9 nicht (5%). Beide Instrumente korrelieren moderat mit WHO-5, PROMIS-10 und anderen Validierungsinstrumenten und zeigten Known-Group-Validität. EQ-HWB-9 erfasst breiteres Spektrum der Carer-Belastung.</w:t>
      </w:r>
    </w:p>
    <w:p>
      <w:r>
        <w:rPr>
          <w:b/>
          <w:sz w:val="19"/>
        </w:rPr>
        <w:t xml:space="preserve">Übertragbarkeit: </w:t>
      </w:r>
      <w:r>
        <w:rPr>
          <w:sz w:val="19"/>
        </w:rPr>
        <w:t>Multi-nationale Studie mit deutschsprachigen Ländern; ökonomische Evaluationen übertragbar</w:t>
      </w:r>
    </w:p>
    <w:p>
      <w:r>
        <w:rPr>
          <w:color w:val="5A7D3A"/>
          <w:sz w:val="18"/>
        </w:rPr>
        <w:t>https://pubmed.ncbi.nlm.nih.gov/42879005/</w:t>
      </w:r>
    </w:p>
    <w:p>
      <w:pPr>
        <w:pStyle w:val="Heading2"/>
      </w:pPr>
      <w:r>
        <w:t>Psychische Gesundheit von Ärzten und Pflegepersonen in der Ukraine während des Krieges</w:t>
      </w:r>
    </w:p>
    <w:p>
      <w:r>
        <w:rPr>
          <w:i/>
          <w:color w:val="666666"/>
          <w:sz w:val="18"/>
        </w:rPr>
        <w:t>Arrona Gómez VA et al.  ·  Br J Psychiatry  ·  15.10.2026  ·  PMID 42876069</w:t>
      </w:r>
    </w:p>
    <w:p>
      <w:r>
        <w:t>Landesweite Cross-sectional-Befragung von 23.805 Ärzten und Pflegepersonen zur Prävalenz von Depression, Angststörungen und suizidalen Gedanken sowie Assoziation mit Arbeitsplatzrisiken (Gewalt, Mobbing).</w:t>
      </w:r>
    </w:p>
    <w:p>
      <w:r>
        <w:rPr>
          <w:b/>
        </w:rPr>
        <w:t xml:space="preserve">Ergebnis: </w:t>
      </w:r>
      <w:r>
        <w:t>1 von 3 Ärzten und 1 von 4 Pflegepersonen berichteten Depressionssymptome; 1 von 4 Ärzte und 1 von 6 Pfleger Angstsymptome; ~1 von 10 suizidale Gedanken. Mobbing am stärksten mit Depression/Angst assoziiert (alle P&lt;0,001), physische Gewalt mit suizidalen Gedanken. Sinnvolle Arbeit schützend.</w:t>
      </w:r>
    </w:p>
    <w:p>
      <w:r>
        <w:rPr>
          <w:b/>
          <w:sz w:val="19"/>
        </w:rPr>
        <w:t xml:space="preserve">Übertragbarkeit: </w:t>
      </w:r>
      <w:r>
        <w:rPr>
          <w:sz w:val="19"/>
        </w:rPr>
        <w:t>Ukraine-Daten, Fragenstellung aber zu Workforce-Wohlbefinden systemunabhängig relevant</w:t>
      </w:r>
    </w:p>
    <w:p>
      <w:r>
        <w:rPr>
          <w:color w:val="5A7D3A"/>
          <w:sz w:val="18"/>
        </w:rPr>
        <w:t>https://pubmed.ncbi.nlm.nih.gov/42876069/</w:t>
      </w:r>
    </w:p>
    <w:p>
      <w:pPr>
        <w:pStyle w:val="Heading2"/>
      </w:pPr>
      <w:r>
        <w:t>Generative-AI-Nutzung bei älteren Menschen mit Multimorbidität: qualitative Analyse von Barrieren und Chancen</w:t>
      </w:r>
    </w:p>
    <w:p>
      <w:r>
        <w:rPr>
          <w:i/>
          <w:color w:val="666666"/>
          <w:sz w:val="18"/>
        </w:rPr>
        <w:t>Lin Q et al.  ·  BMC Health Serv Res  ·  23.07.2026  ·  PMID 42875768</w:t>
      </w:r>
    </w:p>
    <w:p>
      <w:r>
        <w:t>Qualitative Studie mit 16 semistrukturierten Interviews zu Erfahrungen älterer Menschen mit Multimorbidität bei der Nutzung von Generative-AI-Tools für Gesundheitsentscheidungen in China.</w:t>
      </w:r>
    </w:p>
    <w:p>
      <w:r>
        <w:rPr>
          <w:b/>
        </w:rPr>
        <w:t xml:space="preserve">Ergebnis: </w:t>
      </w:r>
      <w:r>
        <w:t>Vier Themen: (1) Wahrgenommener Nutzen (Informationszugang, integrierte Unterstützung, Entscheidungssicherheit); (2) Ease-of-Use mit großen individuellen Unterschieden; (3) Notwendigkeit von Ressourcenmobilisierung (soziale Unterstützung, technische Hilfe); (4) Dynamische, nicht-lineare Nutzungsmuster (Versuche, Unterbrechnungen, Wiederaufnahme oder Abbruch) statt einfache Adoption.</w:t>
      </w:r>
    </w:p>
    <w:p>
      <w:r>
        <w:rPr>
          <w:b/>
          <w:sz w:val="19"/>
        </w:rPr>
        <w:t xml:space="preserve">Übertragbarkeit: </w:t>
      </w:r>
      <w:r>
        <w:rPr>
          <w:sz w:val="19"/>
        </w:rPr>
        <w:t>China-Studie; Fragen zur technologischen Inklusion und Digital-Divide bei älteren Menschen relevant</w:t>
      </w:r>
    </w:p>
    <w:p>
      <w:r>
        <w:rPr>
          <w:color w:val="5A7D3A"/>
          <w:sz w:val="18"/>
        </w:rPr>
        <w:t>https://pubmed.ncbi.nlm.nih.gov/42875768/</w:t>
      </w:r>
    </w:p>
    <w:p>
      <w:pPr>
        <w:pStyle w:val="Heading2"/>
      </w:pPr>
      <w:r>
        <w:t>Hausarztbeteiligung in der onkologischen Nachsorge: Studienprotokoll zur mixed-methods-Analyse</w:t>
      </w:r>
    </w:p>
    <w:p>
      <w:r>
        <w:rPr>
          <w:i/>
          <w:color w:val="666666"/>
          <w:sz w:val="18"/>
        </w:rPr>
        <w:t>van Baal K et al.  ·  BMC Prim Care  ·  13.10.2026  ·  PMID 42875748</w:t>
      </w:r>
    </w:p>
    <w:p>
      <w:r>
        <w:t>Studienprotokoll zur Untersuchung der Hausarzt-Beteiligung in der onkologischen Nachsorge in Deutschland mittels Routinedaten, Surveys und qualitativen Interviews.</w:t>
      </w:r>
    </w:p>
    <w:p>
      <w:r>
        <w:rPr>
          <w:b/>
        </w:rPr>
        <w:t xml:space="preserve">Ergebnis: </w:t>
      </w:r>
      <w:r>
        <w:t>Geplante Analyse von AOK-Routinedaten und Niedersächsischem Krebsregister, Befragung von 300+ Hausärzten und Onkologen, 30 Patienteninterviews sowie Expert-Workshop zur Konsensfindung für strukturierte Empfehlungen.</w:t>
      </w:r>
    </w:p>
    <w:p>
      <w:r>
        <w:rPr>
          <w:b/>
          <w:sz w:val="19"/>
        </w:rPr>
        <w:t xml:space="preserve">Übertragbarkeit: </w:t>
      </w:r>
      <w:r>
        <w:rPr>
          <w:sz w:val="19"/>
        </w:rPr>
        <w:t>Deutsche Studie mit deutschem Versorgungssystem; direkt auf deutsche Versorgung übertragbar</w:t>
      </w:r>
    </w:p>
    <w:p>
      <w:r>
        <w:rPr>
          <w:color w:val="5A7D3A"/>
          <w:sz w:val="18"/>
        </w:rPr>
        <w:t>https://pubmed.ncbi.nlm.nih.gov/42875748/</w:t>
      </w:r>
    </w:p>
    <w:p>
      <w:pPr>
        <w:pStyle w:val="Heading1"/>
      </w:pPr>
      <w:r>
        <w:t>Aufgenommen am 18.10.2026</w:t>
      </w:r>
    </w:p>
    <w:p>
      <w:pPr>
        <w:pStyle w:val="Heading2"/>
      </w:pPr>
      <w:r>
        <w:t>Enzalutamid bei metastatischem hormonsensitivem Prostatakarzinom: Kosteneffektivitätsanalyse</w:t>
      </w:r>
    </w:p>
    <w:p>
      <w:r>
        <w:rPr>
          <w:i/>
          <w:color w:val="666666"/>
          <w:sz w:val="18"/>
        </w:rPr>
        <w:t>Law CK et al.  ·  EClinicalMedicine  ·  05.10.2026  ·  PMID 42890411</w:t>
      </w:r>
    </w:p>
    <w:p>
      <w:r>
        <w:t>Australische within-trial-Kosteneffektivitätsanalyse der ENZAMET-Studie verglich Enzalutamid plus Testosteronsuppression mit Standard-Nicht-Steroiden für Patienten mit metastatischem hormonsensitivem Prostatakarzinom über 60 Monate.</w:t>
      </w:r>
    </w:p>
    <w:p>
      <w:r>
        <w:rPr>
          <w:b/>
        </w:rPr>
        <w:t xml:space="preserve">Ergebnis: </w:t>
      </w:r>
      <w:r>
        <w:t>Enzalutamid führte zu AUD 127.262 zusätzlichen Kosten pro Patient, 0,24 Lebensjahren und 0,15 QALYs-Gewinn; ICER AUD 835.580 pro QALY. Kosteneffizienz nur bei Kaufpreis von AUD 6,73 pro Tablette erreichbar (Schwellenwert AUD 50.000/QALY). Erhöhte Hospitalisierungen und Muskel-Skelett-Medikationen in Enzalutamid-Gruppe.</w:t>
      </w:r>
    </w:p>
    <w:p>
      <w:r>
        <w:rPr>
          <w:b/>
          <w:sz w:val="19"/>
        </w:rPr>
        <w:t xml:space="preserve">Übertragbarkeit: </w:t>
      </w:r>
      <w:r>
        <w:rPr>
          <w:sz w:val="19"/>
        </w:rPr>
        <w:t>Australisches Gesundheitssystem, aber Analyse-Methodik auf deutsches System übertragbar.</w:t>
      </w:r>
    </w:p>
    <w:p>
      <w:r>
        <w:rPr>
          <w:color w:val="5A7D3A"/>
          <w:sz w:val="18"/>
        </w:rPr>
        <w:t>https://pubmed.ncbi.nlm.nih.gov/42890411/</w:t>
      </w:r>
    </w:p>
    <w:p>
      <w:pPr>
        <w:pStyle w:val="Heading2"/>
      </w:pPr>
      <w:r>
        <w:t>Nutzen von klinischen Qualitätsregistern: Governance und Systemintegration</w:t>
      </w:r>
    </w:p>
    <w:p>
      <w:r>
        <w:rPr>
          <w:i/>
          <w:color w:val="666666"/>
          <w:sz w:val="18"/>
        </w:rPr>
        <w:t>Bessen T et al.  ·  Med J Aust  ·  Okt. 2026  ·  PMID 42888857</w:t>
      </w:r>
    </w:p>
    <w:p>
      <w:r>
        <w:t>Konferenzbeitrag diskutiert, wie klinische Qualitätsregister (CQRs) zur Qualitätsverbesserung in Gesundheitssystemen beitragen und beschreibt Organizational-Infrastructure-Elemente für Systemintegration.</w:t>
      </w:r>
    </w:p>
    <w:p>
      <w:r>
        <w:rPr>
          <w:b/>
        </w:rPr>
        <w:t xml:space="preserve">Ergebnis: </w:t>
      </w:r>
      <w:r>
        <w:t>CQRs erfassen systematisch Sicherheits- und Qualitätsdaten mit Risikoanpassung und Benchmarking; Daten treiben Qualitätsverbesserungen. Zentrale Erkenntnis: Daten bleiben oft in Facheinheiten statt Organisation/System-weit integriert. Erforderlich: Governance-Infrastruktur zur Systemintegration auf Gesundheits- und Behördenebene.</w:t>
      </w:r>
    </w:p>
    <w:p>
      <w:r>
        <w:rPr>
          <w:b/>
          <w:sz w:val="19"/>
        </w:rPr>
        <w:t xml:space="preserve">Übertragbarkeit: </w:t>
      </w:r>
      <w:r>
        <w:rPr>
          <w:sz w:val="19"/>
        </w:rPr>
        <w:t>Australien; Registries-Governance-Ansätze auf deutsches Qualitätsmanagement übertragbar.</w:t>
      </w:r>
    </w:p>
    <w:p>
      <w:r>
        <w:rPr>
          <w:color w:val="5A7D3A"/>
          <w:sz w:val="18"/>
        </w:rPr>
        <w:t>https://pubmed.ncbi.nlm.nih.gov/42888857/</w:t>
      </w:r>
    </w:p>
    <w:p>
      <w:pPr>
        <w:pStyle w:val="Heading2"/>
      </w:pPr>
      <w:r>
        <w:t>Wartezeiten und Verzögerungen bei Kopf-Hals-Krebs in England</w:t>
      </w:r>
    </w:p>
    <w:p>
      <w:r>
        <w:rPr>
          <w:i/>
          <w:color w:val="666666"/>
          <w:sz w:val="18"/>
        </w:rPr>
        <w:t>Jashek-Ahmed F et al.  ·  Br J Cancer  ·  16.10.2026  ·  PMID 42888204</w:t>
      </w:r>
    </w:p>
    <w:p>
      <w:r>
        <w:t>Britische Kohortenstudie mit verlinkten nationalen Datenregistern untersuchte Wartezeiten von Überweisung bis zur ersten Krebsbehandlung (Chirurgie oder Strahlenchemotherapie) bei 30.506 Kopf-Hals-Karzinom-Patienten.</w:t>
      </w:r>
    </w:p>
    <w:p>
      <w:r>
        <w:rPr>
          <w:b/>
        </w:rPr>
        <w:t xml:space="preserve">Ergebnis: </w:t>
      </w:r>
      <w:r>
        <w:t>43 % erlebten Behandlungsverzögerung (&gt;62 Tage), 11 % bei Chirurgie und 20 % bei (Chemo-)Strahlung &gt;90 Tage. Nicht-dringende Überweisung (30 % der Patienten) war stärkster Prädiktor für lange Verzögerung (aOR 4,07; 95 %-KI 3,54–4,68). Zusätzliche Risikofaktoren: initiale Bewertung in Nicht-Spezialist-Kliniken, Non-Oropharynx-Karzinome, höhere Deprivation.</w:t>
      </w:r>
    </w:p>
    <w:p>
      <w:r>
        <w:rPr>
          <w:b/>
          <w:sz w:val="19"/>
        </w:rPr>
        <w:t xml:space="preserve">Übertragbarkeit: </w:t>
      </w:r>
      <w:r>
        <w:rPr>
          <w:sz w:val="19"/>
        </w:rPr>
        <w:t>England, NHS-System; Methodik zu Zugangssteuerung begrenzt übertragbar auf Deutschland.</w:t>
      </w:r>
    </w:p>
    <w:p>
      <w:r>
        <w:rPr>
          <w:color w:val="5A7D3A"/>
          <w:sz w:val="18"/>
        </w:rPr>
        <w:t>https://pubmed.ncbi.nlm.nih.gov/42888204/</w:t>
      </w:r>
    </w:p>
    <w:p>
      <w:pPr>
        <w:pStyle w:val="Heading2"/>
      </w:pPr>
      <w:r>
        <w:t>Zugang zu Versorgung bei Niereninsuffizienz: Sicht von Medicare-Advantage-Organisationen</w:t>
      </w:r>
    </w:p>
    <w:p>
      <w:r>
        <w:rPr>
          <w:i/>
          <w:color w:val="666666"/>
          <w:sz w:val="18"/>
        </w:rPr>
        <w:t>Tyler DA et al.  ·  Health Serv Res  ·  Okt. 2026  ·  PMID 42888180</w:t>
      </w:r>
    </w:p>
    <w:p>
      <w:r>
        <w:t>Qualitative Studie mit 56 Teilnehmern aus 8 Medicare-Advantage-Plänen, 6 Dialyse- und 5 Nierenbetreu-Unternehmen in den USA untersuchte Perspektiven zum Versorgungszugang nach Medicare-Advantage-Einschreibung bei Dialysepatienten.</w:t>
      </w:r>
    </w:p>
    <w:p>
      <w:r>
        <w:rPr>
          <w:b/>
        </w:rPr>
        <w:t xml:space="preserve">Ergebnis: </w:t>
      </w:r>
      <w:r>
        <w:t>Perspektiven differieren nach Organisation und Mitarbeiter-Funktion. MA-Plankvertreter berichten keine Zugangsbarrieren zu Dialyse; kleine Dialyse-Anbieter berichten Patienten-Fahrtweite zu In-Network-Einrichtungen. Informationen über Netzwerkbeschränkungen für Spezialisten oft nicht Patienten-bewusst. MA wählt ‚Centers of Excellence', andere berichten Transplant-Zugangs-Behinderung. Zusatzleistungen von Exekutive betont, von Frontline-Personal als begrenzt berichtet.</w:t>
      </w:r>
    </w:p>
    <w:p>
      <w:r>
        <w:rPr>
          <w:b/>
          <w:sz w:val="19"/>
        </w:rPr>
        <w:t xml:space="preserve">Übertragbarkeit: </w:t>
      </w:r>
      <w:r>
        <w:rPr>
          <w:sz w:val="19"/>
        </w:rPr>
        <w:t>USA; stark systemabhängig von Medicare-Struktur, begrenzte Übertragbarkeit.</w:t>
      </w:r>
    </w:p>
    <w:p>
      <w:r>
        <w:rPr>
          <w:color w:val="5A7D3A"/>
          <w:sz w:val="18"/>
        </w:rPr>
        <w:t>https://pubmed.ncbi.nlm.nih.gov/42888180/</w:t>
      </w:r>
    </w:p>
    <w:p>
      <w:pPr>
        <w:pStyle w:val="Heading2"/>
      </w:pPr>
      <w:r>
        <w:t>Konsensusdefinition schwere COPD: internationale Delphi-Studie</w:t>
      </w:r>
    </w:p>
    <w:p>
      <w:r>
        <w:rPr>
          <w:i/>
          <w:color w:val="666666"/>
          <w:sz w:val="18"/>
        </w:rPr>
        <w:t>Melles MC et al.  ·  Ann Am Thorac Soc  ·  16.10.2026  ·  PMID 42885566</w:t>
      </w:r>
    </w:p>
    <w:p>
      <w:r>
        <w:t>Internationale modifizierte Delphi-Studie mit 55 COPD-Experten entwickelte Konsensusdefinition und minimales Diagnose-Set für schwere COPD sowie notwendige Arbeitsvorgänge.</w:t>
      </w:r>
    </w:p>
    <w:p>
      <w:r>
        <w:rPr>
          <w:b/>
        </w:rPr>
        <w:t xml:space="preserve">Ergebnis: </w:t>
      </w:r>
      <w:r>
        <w:t>Konsens in 46 von 67 Aussagen (Runde 1, 69 %) und 15 von 20 (Runde 2, 75 %). Schwere COPD definiert als persistierende Symptome/Funktionsbeeinträchtigung trotz optimaler Therapie mit mindestens einem Merkmal: schwere Atemwegsobstruktion, schwere Diffusionsstörung, schwere Überblähung, häufige Exazerbationen, chronische Ateminsuffizienz, pulmonale Hypertonie oder Kachexie. Standardisiertes Workup inkl. Patient-Reported Outcomes, Exazerbationen, Lungenfunktion, Blutgase, Imaging, kardiale Bewertung, Belastungstestung.</w:t>
      </w:r>
    </w:p>
    <w:p>
      <w:r>
        <w:rPr>
          <w:b/>
          <w:sz w:val="19"/>
        </w:rPr>
        <w:t xml:space="preserve">Übertragbarkeit: </w:t>
      </w:r>
      <w:r>
        <w:rPr>
          <w:sz w:val="19"/>
        </w:rPr>
        <w:t>Internationale Konsensus-Studie mit 55 Experten; Definitionen für deutsches Versorgungssystem relevant.</w:t>
      </w:r>
    </w:p>
    <w:p>
      <w:r>
        <w:rPr>
          <w:color w:val="5A7D3A"/>
          <w:sz w:val="18"/>
        </w:rPr>
        <w:t>https://pubmed.ncbi.nlm.nih.gov/42885566/</w:t>
      </w:r>
    </w:p>
    <w:p>
      <w:pPr>
        <w:pStyle w:val="Heading2"/>
      </w:pPr>
      <w:r>
        <w:t>Social-Media-Nutzung und Angststörungen bei Gesundheitsmitarbeitern in COVID-19</w:t>
      </w:r>
    </w:p>
    <w:p>
      <w:r>
        <w:rPr>
          <w:i/>
          <w:color w:val="666666"/>
          <w:sz w:val="18"/>
        </w:rPr>
        <w:t>Powell M et al.  ·  J Med Internet Res  ·  15.10.2026  ·  PMID 42879747</w:t>
      </w:r>
    </w:p>
    <w:p>
      <w:r>
        <w:t>Sekundäranalyse der UC-COVID-Studie 2021 mit 427 Gesundheitsmitarbeitern untersuchte Assoziationen zwischen Social-Media-Nutzung über mehrere Plattformen und Angst-Symptomen während Pandemie.</w:t>
      </w:r>
    </w:p>
    <w:p>
      <w:r>
        <w:rPr>
          <w:b/>
        </w:rPr>
        <w:t xml:space="preserve">Ergebnis: </w:t>
      </w:r>
      <w:r>
        <w:t>29 % berichteten klinisch relevante Angststörungen (GAD-2 ≥3). Höhere Social-Media-Nutzung signifikant mit Angst assoziiert (OR 1,77; 95 %-KI 1,15–2,73). Älteres Alter reduzierte Angststörungen (aOR 0,97; 95 %-KI 0,95–0,99). Psychische-Anamnese erhöhte Angststörungen (aOR 2,33; 95 %-KI 1,35–4,03). Nicht-hispanische Asiaten weniger Angststörungen (aOR 0,39; KI 0,19–0,80). Höheres Einkommen reduzierte Angststörungen (aOR 0,51; KI 0,30–0,87).</w:t>
      </w:r>
    </w:p>
    <w:p>
      <w:r>
        <w:rPr>
          <w:b/>
          <w:sz w:val="19"/>
        </w:rPr>
        <w:t xml:space="preserve">Übertragbarkeit: </w:t>
      </w:r>
      <w:r>
        <w:rPr>
          <w:sz w:val="19"/>
        </w:rPr>
        <w:t>USA-Daten; Fragestellung zu Gesundheitsmitarbeiter-Psyche systemunabhängig relevant.</w:t>
      </w:r>
    </w:p>
    <w:p>
      <w:r>
        <w:rPr>
          <w:color w:val="5A7D3A"/>
          <w:sz w:val="18"/>
        </w:rPr>
        <w:t>https://pubmed.ncbi.nlm.nih.gov/42879747/</w:t>
      </w:r>
    </w:p>
    <w:p>
      <w:pPr>
        <w:pStyle w:val="Heading2"/>
      </w:pPr>
      <w:r>
        <w:t>Umsetzung von CVD-Risiko-Vorhersage-Tools in Subsahara-Afrika: Scoping Review</w:t>
      </w:r>
    </w:p>
    <w:p>
      <w:r>
        <w:rPr>
          <w:i/>
          <w:color w:val="666666"/>
          <w:sz w:val="18"/>
        </w:rPr>
        <w:t>Gouws M et al.  ·  BMC Health Serv Res  ·  19.08.2026  ·  PMID 42875763</w:t>
      </w:r>
    </w:p>
    <w:p>
      <w:r>
        <w:t>Systematische Scoping Review zur Implementierung von Kardiovaskulär-Risiko-Vorhersage-Scores in Subsahara-Afrika anhand von 41 Studien aus zehn Ländern; Struktur nach Implementation-Research-Logic-Model.</w:t>
      </w:r>
    </w:p>
    <w:p>
      <w:r>
        <w:rPr>
          <w:b/>
        </w:rPr>
        <w:t xml:space="preserve">Ergebnis: </w:t>
      </w:r>
      <w:r>
        <w:t>Vier Use-Cases identifiziert: ökonomische/Policy-Überlegungen, Screening hohes CVD-Risiko/Überweisung, Risikokommunikation, Behandlung Hochrisiko-Patienten. Häufigste Barrieren: Gesundheitssystem- und Organisations-Herausforderungen. Implementierungs-Strategien fokussieren Task-Shifting, Training, kurzfristige Materialien/Technologie-Unterstützung für Community-Health-Worker. Wenig Evidenz zu Nachhaltigkeits-Strategien in Einrichtungen; Mismatch zwischen Determinanten-Breite und Strategien-Enge.</w:t>
      </w:r>
    </w:p>
    <w:p>
      <w:r>
        <w:rPr>
          <w:b/>
          <w:sz w:val="19"/>
        </w:rPr>
        <w:t xml:space="preserve">Übertragbarkeit: </w:t>
      </w:r>
      <w:r>
        <w:rPr>
          <w:sz w:val="19"/>
        </w:rPr>
        <w:t>Sub-Sahara; systemabhängig von Ressourcenlage, begrenzte Übertragbarkeit auf Deutschland.</w:t>
      </w:r>
    </w:p>
    <w:p>
      <w:r>
        <w:rPr>
          <w:color w:val="5A7D3A"/>
          <w:sz w:val="18"/>
        </w:rPr>
        <w:t>https://pubmed.ncbi.nlm.nih.gov/42875763/</w:t>
      </w:r>
    </w:p>
    <w:p>
      <w:pPr>
        <w:pStyle w:val="Heading1"/>
      </w:pPr>
      <w:r>
        <w:t>Aufgenommen am 17.10.2026</w:t>
      </w:r>
    </w:p>
    <w:p>
      <w:pPr>
        <w:pStyle w:val="Heading2"/>
      </w:pPr>
      <w:r>
        <w:t>ASAS-Kernsatz zur Assessmentierung axialer Spondyloarthritis</w:t>
      </w:r>
    </w:p>
    <w:p>
      <w:r>
        <w:rPr>
          <w:i/>
          <w:color w:val="666666"/>
          <w:sz w:val="18"/>
        </w:rPr>
        <w:t>van Tubergen A et al.  ·  Ann Rheum Dis  ·  16.10.2026  ·  PMID 42888164</w:t>
      </w:r>
    </w:p>
    <w:p>
      <w:r>
        <w:t>Internationale Expertengruppe entwickelte per modifiziertem Delphi-Verfahren einen standardisierten Kernsatz von Assessmentdomänen und -instrumenten für die klinische Praxis.</w:t>
      </w:r>
    </w:p>
    <w:p>
      <w:r>
        <w:rPr>
          <w:b/>
        </w:rPr>
        <w:t xml:space="preserve">Ergebnis: </w:t>
      </w:r>
      <w:r>
        <w:t>Der Kernsatz wurde von der Mehrheit der ASAS-Mitglieder verabschiedet. Fünf Domänen für Routinevisiten (Krankheitsaktivität, Schmerz, periphere Manifestationen, extramuskuloskeletale Manifestationen, Therapieaspekte) mit je mindestens einem empfohlenen Instrument plus vier ergänzende Domänen für erweiterte Visiten (strukturelle Schäden, Funktionsfähigkeit, Komorbiditäten, Mobilität).</w:t>
      </w:r>
    </w:p>
    <w:p>
      <w:r>
        <w:rPr>
          <w:b/>
          <w:sz w:val="19"/>
        </w:rPr>
        <w:t xml:space="preserve">Übertragbarkeit: </w:t>
      </w:r>
      <w:r>
        <w:rPr>
          <w:sz w:val="19"/>
        </w:rPr>
        <w:t>Internationaler Konsens, europäische Beteiligung, deutsches Rheumazentrum beteiligt</w:t>
      </w:r>
    </w:p>
    <w:p>
      <w:r>
        <w:rPr>
          <w:color w:val="5A7D3A"/>
          <w:sz w:val="18"/>
        </w:rPr>
        <w:t>https://pubmed.ncbi.nlm.nih.gov/42888164/</w:t>
      </w:r>
    </w:p>
    <w:p>
      <w:pPr>
        <w:pStyle w:val="Heading2"/>
      </w:pPr>
      <w:r>
        <w:t>Partizipative Forschung mit Betroffenen: Impact und Team-Dynamik</w:t>
      </w:r>
    </w:p>
    <w:p>
      <w:r>
        <w:rPr>
          <w:i/>
          <w:color w:val="666666"/>
          <w:sz w:val="18"/>
        </w:rPr>
        <w:t>Fox J et al.  ·  Health Expect  ·  Okt. 2026  ·  PMID 42886175</w:t>
      </w:r>
    </w:p>
    <w:p>
      <w:r>
        <w:t>Qualitative Fallstudie erforschte über sieben Jahre die Erfahrungen von Forschungsteams und Betroffenen-Panels bei partizipativ durchgeführter Forschung zur Psychoseprävention.</w:t>
      </w:r>
    </w:p>
    <w:p>
      <w:r>
        <w:rPr>
          <w:b/>
        </w:rPr>
        <w:t xml:space="preserve">Ergebnis: </w:t>
      </w:r>
      <w:r>
        <w:t>Vier Hauptthemen: Impact wurde als Lernprozess mit Friktionen beschrieben; Studienteam schätzte Expertise der Betroffenen; Herausforderungen waren mangelnde Schulung zur Partizipation, Wechsel in Panelstruktur, COVID-bedingte Online-Verlagerung und Zweifel an Relevanzbezug. Regelmäßige reflexive Lernprozesse mit offenem Feedback waren zentral für positive Inklusionskultur.</w:t>
      </w:r>
    </w:p>
    <w:p>
      <w:r>
        <w:rPr>
          <w:b/>
          <w:sz w:val="19"/>
        </w:rPr>
        <w:t xml:space="preserve">Übertragbarkeit: </w:t>
      </w:r>
      <w:r>
        <w:rPr>
          <w:sz w:val="19"/>
        </w:rPr>
        <w:t>UK-Studie, Methode aber international übertragbar für Partizipationsforschung</w:t>
      </w:r>
    </w:p>
    <w:p>
      <w:r>
        <w:rPr>
          <w:color w:val="5A7D3A"/>
          <w:sz w:val="18"/>
        </w:rPr>
        <w:t>https://pubmed.ncbi.nlm.nih.gov/42886175/</w:t>
      </w:r>
    </w:p>
    <w:p>
      <w:pPr>
        <w:pStyle w:val="Heading2"/>
      </w:pPr>
      <w:r>
        <w:t>Depressive Symptome und Remission bei Psoriasis-Arthritis</w:t>
      </w:r>
    </w:p>
    <w:p>
      <w:r>
        <w:rPr>
          <w:i/>
          <w:color w:val="666666"/>
          <w:sz w:val="18"/>
        </w:rPr>
        <w:t>Reich A et al.  ·  BMC Rheumatol  ·  14.10.2026  ·  PMID 42881477</w:t>
      </w:r>
    </w:p>
    <w:p>
      <w:r>
        <w:t>Deutsche Registerstudie untersuchte die Assoziation depressiver Symptome mit Remissionserreichung bei Patienten mit Psoriasis-Arthritis unter systemischer Therapie.</w:t>
      </w:r>
    </w:p>
    <w:p>
      <w:r>
        <w:rPr>
          <w:b/>
        </w:rPr>
        <w:t xml:space="preserve">Ergebnis: </w:t>
      </w:r>
      <w:r>
        <w:t>29 % der 1.888 Patienten berichteten moderate/schwere depressive Symptome (34 % Frauen, 23 % Männer). Höheres Wohlbefinden war mit Remission assoziiert (OR 1,06–1,14 pro 10-Punkt-Steigerung). Beide Geschlechter mit moderaten/schweren Symptomen erreichten Minimal Disease Activity und DAPSA-Remission weniger häufig; die Assoziation unterschied sich nicht signifikant nach Geschlecht.</w:t>
      </w:r>
    </w:p>
    <w:p>
      <w:r>
        <w:rPr>
          <w:b/>
          <w:sz w:val="19"/>
        </w:rPr>
        <w:t xml:space="preserve">Übertragbarkeit: </w:t>
      </w:r>
      <w:r>
        <w:rPr>
          <w:sz w:val="19"/>
        </w:rPr>
        <w:t>Deutsche Routinedaten, ambulante rheumatologische Praxis</w:t>
      </w:r>
    </w:p>
    <w:p>
      <w:r>
        <w:rPr>
          <w:color w:val="5A7D3A"/>
          <w:sz w:val="18"/>
        </w:rPr>
        <w:t>https://pubmed.ncbi.nlm.nih.gov/42881477/</w:t>
      </w:r>
    </w:p>
    <w:p>
      <w:pPr>
        <w:pStyle w:val="Heading2"/>
      </w:pPr>
      <w:r>
        <w:t>Belastung von Eltern als Pflegende bei seltenen Kindererkrankungen</w:t>
      </w:r>
    </w:p>
    <w:p>
      <w:r>
        <w:rPr>
          <w:i/>
          <w:color w:val="666666"/>
          <w:sz w:val="18"/>
        </w:rPr>
        <w:t>Brandt M et al.  ·  Orphanet J Rare Dis  ·  12.10.2026  ·  PMID 42881418</w:t>
      </w:r>
    </w:p>
    <w:p>
      <w:r>
        <w:t>Deutsche Querschnittstudie untersuchte Pflegbelastung bei 123 Eltern von Kindern mit seltenen Erkrankungen und identifizierte assoziierte Faktoren.</w:t>
      </w:r>
    </w:p>
    <w:p>
      <w:r>
        <w:rPr>
          <w:b/>
        </w:rPr>
        <w:t xml:space="preserve">Ergebnis: </w:t>
      </w:r>
      <w:r>
        <w:t>23 % berichteten depressive Symptome, 77 % mindestens einen unerfüllten Unterstützungsbedarf. Bei Kindern mit Pflegebedarf: 24 % mit hoher Pflegbelastung. Nach Adjustierung für multiple Tests zeigten sich bei niedrigerer pflegbezogener Lebensqualität, höherer Sozioökonomie, elterlichen depressiven Symptomen und niedriger Therapiezufriedenheit stärkste Assoziationen mit Pflegbelastung.</w:t>
      </w:r>
    </w:p>
    <w:p>
      <w:r>
        <w:rPr>
          <w:b/>
          <w:sz w:val="19"/>
        </w:rPr>
        <w:t xml:space="preserve">Übertragbarkeit: </w:t>
      </w:r>
      <w:r>
        <w:rPr>
          <w:sz w:val="19"/>
        </w:rPr>
        <w:t>Deutsche Studie, spezialisierte Zentren und Patientenorganisationen</w:t>
      </w:r>
    </w:p>
    <w:p>
      <w:r>
        <w:rPr>
          <w:color w:val="5A7D3A"/>
          <w:sz w:val="18"/>
        </w:rPr>
        <w:t>https://pubmed.ncbi.nlm.nih.gov/42881418/</w:t>
      </w:r>
    </w:p>
    <w:p>
      <w:pPr>
        <w:pStyle w:val="Heading2"/>
      </w:pPr>
      <w:r>
        <w:t>Gesundheitskompetenz und Gesundheit bei Pflegestudierenden</w:t>
      </w:r>
    </w:p>
    <w:p>
      <w:r>
        <w:rPr>
          <w:i/>
          <w:color w:val="666666"/>
          <w:sz w:val="18"/>
        </w:rPr>
        <w:t>Otto R et al.  ·  Front Med (Lausanne)  ·  30.09.2026  ·  PMID 42876879</w:t>
      </w:r>
    </w:p>
    <w:p>
      <w:r>
        <w:t>Longitudinale deutsche Kohortenstudie verfolgten 128 Auszubildende und 43 Studierende im Pflegebereich über ein Jahr und untersuchten Gesundheitskompetenz, Gesundheitsstatus und Gesundheitsverhalten.</w:t>
      </w:r>
    </w:p>
    <w:p>
      <w:r>
        <w:rPr>
          <w:b/>
        </w:rPr>
        <w:t xml:space="preserve">Ergebnis: </w:t>
      </w:r>
      <w:r>
        <w:t>Durchschnittliche Gesundheitskompetenzscores blieben stabil, zeigten aber heterogene individuelle Veränderungen. BMI stieg signifikant an. Selbstbewerteter Gesundheitsstatus verschlechterte sich bei Auszubildenden signifikant. Raucherquote stieg signifikant an, andere Gesundheitsverhalten blieben unverändert. Keine signifikanten Assoziationen zwischen Baseline-Gesundheitskompetenz und späteren Outcomes oder Verhalten.</w:t>
      </w:r>
    </w:p>
    <w:p>
      <w:r>
        <w:rPr>
          <w:b/>
          <w:sz w:val="19"/>
        </w:rPr>
        <w:t xml:space="preserve">Übertragbarkeit: </w:t>
      </w:r>
      <w:r>
        <w:rPr>
          <w:sz w:val="19"/>
        </w:rPr>
        <w:t>Deutsche Studie, Unterricht und Ausbildungssetting</w:t>
      </w:r>
    </w:p>
    <w:p>
      <w:r>
        <w:rPr>
          <w:color w:val="5A7D3A"/>
          <w:sz w:val="18"/>
        </w:rPr>
        <w:t>https://pubmed.ncbi.nlm.nih.gov/42876879/</w:t>
      </w:r>
    </w:p>
    <w:p>
      <w:pPr>
        <w:pStyle w:val="Heading2"/>
      </w:pPr>
      <w:r>
        <w:t>Technische Effizienz öffentlicher Gesundheitseinrichtungen</w:t>
      </w:r>
    </w:p>
    <w:p>
      <w:r>
        <w:rPr>
          <w:i/>
          <w:color w:val="666666"/>
          <w:sz w:val="18"/>
        </w:rPr>
        <w:t>Momina AU et al.  ·  BMC Health Serv Res  ·  13.10.2026  ·  PMID 42870268</w:t>
      </w:r>
    </w:p>
    <w:p>
      <w:r>
        <w:t>Datenabgrenzungsanalyse evaluierte die technische Effizienz von 100 öffentlichen Gesundheitseinrichtungen in Pakistan bei der Familienplanungsversorgung.</w:t>
      </w:r>
    </w:p>
    <w:p>
      <w:r>
        <w:rPr>
          <w:b/>
        </w:rPr>
        <w:t xml:space="preserve">Ergebnis: </w:t>
      </w:r>
      <w:r>
        <w:t>Die durchschnittliche Effizienzquote betrug 78 %. Basic Health Units und Rural Health Centers zeigten erhebliche Ressourcenoptimierungslücken. Eine negative Assoziation bestand zwischen der Anzahl alternativer Anbieter im Einzugsgebiet und der Effizienz, was die Bedeutung der Angebotsorientierung nach lokaler Nachfrage unterstreicht.</w:t>
      </w:r>
    </w:p>
    <w:p>
      <w:r>
        <w:rPr>
          <w:b/>
          <w:sz w:val="19"/>
        </w:rPr>
        <w:t xml:space="preserve">Übertragbarkeit: </w:t>
      </w:r>
      <w:r>
        <w:rPr>
          <w:sz w:val="19"/>
        </w:rPr>
        <w:t>Nur bedingt: andere Ressourcenlage, Gesundheitssystem-Kontext unterscheidet sich grundlegend</w:t>
      </w:r>
    </w:p>
    <w:p>
      <w:r>
        <w:rPr>
          <w:color w:val="5A7D3A"/>
          <w:sz w:val="18"/>
        </w:rPr>
        <w:t>https://pubmed.ncbi.nlm.nih.gov/42870268/</w:t>
      </w:r>
    </w:p>
    <w:p>
      <w:pPr>
        <w:pStyle w:val="Heading1"/>
      </w:pPr>
      <w:r>
        <w:t>Aufgenommen am 16.10.2026</w:t>
      </w:r>
    </w:p>
    <w:p>
      <w:pPr>
        <w:pStyle w:val="Heading2"/>
      </w:pPr>
      <w:r>
        <w:t>Medizinische Kunstfehlerfälle in Katalonien: 22 Jahre Trends</w:t>
      </w:r>
    </w:p>
    <w:p>
      <w:r>
        <w:rPr>
          <w:i/>
          <w:color w:val="666666"/>
          <w:sz w:val="18"/>
        </w:rPr>
        <w:t>Arimany-Manso J et al.  ·  Health Policy  ·  13.10.2026  ·  PMID 42879821</w:t>
      </w:r>
    </w:p>
    <w:p>
      <w:r>
        <w:t>Retrospektive Analyse von 22 Jahren Kunstfehlermeldungen im katalanischen Versicherungssystem mit Fokus auf Trends und Unterschiede zwischen Fachbereichen.</w:t>
      </w:r>
    </w:p>
    <w:p>
      <w:r>
        <w:rPr>
          <w:b/>
        </w:rPr>
        <w:t xml:space="preserve">Ergebnis: </w:t>
      </w:r>
      <w:r>
        <w:t>Bei 22 % Bevölkerungswachstum sanken Kunstfehlerfälle um 9,5 %, adjustierte Raten sogar um 26,1 % (p &lt; 0,0005). Chirurgische Fälle fielen um 34,0 %, Notfallmedizin um 20,5 %; mittlere Latenz zwischen Ereignis und Anspruch: 23,9 Monate. Dies widerspricht der Wahrnehmung steigender Fälle.</w:t>
      </w:r>
    </w:p>
    <w:p>
      <w:r>
        <w:rPr>
          <w:b/>
          <w:sz w:val="19"/>
        </w:rPr>
        <w:t xml:space="preserve">Übertragbarkeit: </w:t>
      </w:r>
      <w:r>
        <w:rPr>
          <w:sz w:val="19"/>
        </w:rPr>
        <w:t>Katalonisches Versicherungsmodell, vergleichbar mit deutschen Strukturen und Sozialversicherungen</w:t>
      </w:r>
    </w:p>
    <w:p>
      <w:r>
        <w:rPr>
          <w:color w:val="5A7D3A"/>
          <w:sz w:val="18"/>
        </w:rPr>
        <w:t>https://pubmed.ncbi.nlm.nih.gov/42879821/</w:t>
      </w:r>
    </w:p>
    <w:p>
      <w:pPr>
        <w:pStyle w:val="Heading2"/>
      </w:pPr>
      <w:r>
        <w:t>Langzeiteffekte von Community-Screening auf kardiovaskuläres Risiko und Verhalten</w:t>
      </w:r>
    </w:p>
    <w:p>
      <w:r>
        <w:rPr>
          <w:i/>
          <w:color w:val="666666"/>
          <w:sz w:val="18"/>
        </w:rPr>
        <w:t>Gani LU et al.  ·  Singapore Med J  ·  15.10.2026  ·  PMID 42879299</w:t>
      </w:r>
    </w:p>
    <w:p>
      <w:r>
        <w:t>Achtjährige Beobachtungsstudie (2011–2019): 28.565 Teilnehmer an ECHO-Screening; Auswertung der Auswirkungen auf Risikofaktoren, Arztbesuche und Gesundheitsverhalten.</w:t>
      </w:r>
    </w:p>
    <w:p>
      <w:r>
        <w:rPr>
          <w:b/>
        </w:rPr>
        <w:t xml:space="preserve">Ergebnis: </w:t>
      </w:r>
      <w:r>
        <w:t>12.762 Personen beim Screening teilgenommen, 5.977 (46,8 %) hatten abnorme Befunde; 56 % besuchten Hausarzt innerhalb eines Jahres. Bewohner von kostengünstigen Wohnungen zeigten höhere Besuchsraten (74 % vs. 52,5 %, p &lt; 0,001). Wiederholte ECHO-Teilnahme war mit verbesserten kardiomet. Indikatoren assoziiert trotz bescheidener Verhaltensänderungen.</w:t>
      </w:r>
    </w:p>
    <w:p>
      <w:r>
        <w:rPr>
          <w:b/>
          <w:sz w:val="19"/>
        </w:rPr>
        <w:t xml:space="preserve">Übertragbarkeit: </w:t>
      </w:r>
      <w:r>
        <w:rPr>
          <w:sz w:val="19"/>
        </w:rPr>
        <w:t>Singapur, vergleichbare Mehrschichtstruktur; Befunde zu niederschwelligem Screening in Gemeinden übertragbar</w:t>
      </w:r>
    </w:p>
    <w:p>
      <w:r>
        <w:rPr>
          <w:color w:val="5A7D3A"/>
          <w:sz w:val="18"/>
        </w:rPr>
        <w:t>https://pubmed.ncbi.nlm.nih.gov/42879299/</w:t>
      </w:r>
    </w:p>
    <w:p>
      <w:pPr>
        <w:pStyle w:val="Heading2"/>
      </w:pPr>
      <w:r>
        <w:t>Telehealth bei Morbus Parkinson: Urbane vs. ländliche Disparitäten</w:t>
      </w:r>
    </w:p>
    <w:p>
      <w:r>
        <w:rPr>
          <w:i/>
          <w:color w:val="666666"/>
          <w:sz w:val="18"/>
        </w:rPr>
        <w:t>Gros P et al.  ·  Can J Neurol Sci  ·  15.10.2026  ·  PMID 42878209</w:t>
      </w:r>
    </w:p>
    <w:p>
      <w:r>
        <w:t>Populationsgestützte Querschnittsstudie von 24.736 Patienten mit Parkinson in Ontario (März 2020–August 2023) zur Telehealth-Nutzung in Stadt vs. Land.</w:t>
      </w:r>
    </w:p>
    <w:p>
      <w:r>
        <w:rPr>
          <w:b/>
        </w:rPr>
        <w:t xml:space="preserve">Ergebnis: </w:t>
      </w:r>
      <w:r>
        <w:t>Ländliche Patienten hatten signifikant niedrigere Telehealth-Raten zu Neurologen (aRR 0,93; 95%-KI 0,90–0,96), Hausärzten (aRR 0,73; 95%-KI 0,70–0,77) und Geriatrie/Psychiatrie (aRR 0,67; 95%-KI 0,65–0,77). Telehealth fiel über 3,5 Jahre bei Neurologen auf aRR 0,23, bei Hausärzten auf aRR 0,39.</w:t>
      </w:r>
    </w:p>
    <w:p>
      <w:r>
        <w:rPr>
          <w:b/>
          <w:sz w:val="19"/>
        </w:rPr>
        <w:t xml:space="preserve">Übertragbarkeit: </w:t>
      </w:r>
      <w:r>
        <w:rPr>
          <w:sz w:val="19"/>
        </w:rPr>
        <w:t>Kanada, steuerfinanziert; Befunde zu Zugangsungleichheit sind systemunabhängig relevant</w:t>
      </w:r>
    </w:p>
    <w:p>
      <w:r>
        <w:rPr>
          <w:color w:val="5A7D3A"/>
          <w:sz w:val="18"/>
        </w:rPr>
        <w:t>https://pubmed.ncbi.nlm.nih.gov/42878209/</w:t>
      </w:r>
    </w:p>
    <w:p>
      <w:pPr>
        <w:pStyle w:val="Heading2"/>
      </w:pPr>
      <w:r>
        <w:t>SMS-Erinnerungen zur Zervixkrebsvorsorge: Effektivität bei Massenimplementierung</w:t>
      </w:r>
    </w:p>
    <w:p>
      <w:r>
        <w:rPr>
          <w:i/>
          <w:color w:val="666666"/>
          <w:sz w:val="18"/>
        </w:rPr>
        <w:t>Nichol B et al.  ·  Lancet Prim Care  ·  Sept. 2026  ·  PMID 42877070</w:t>
      </w:r>
    </w:p>
    <w:p>
      <w:r>
        <w:t>Rückwirkende Analyse der flächendeckenden Einführung von GP-unterstützten SMS-Erinnerungen für Zervixkrebsscreenings in London (Juni 2021–März 2024).</w:t>
      </w:r>
    </w:p>
    <w:p>
      <w:r>
        <w:rPr>
          <w:b/>
        </w:rPr>
        <w:t xml:space="preserve">Ergebnis: </w:t>
      </w:r>
      <w:r>
        <w:t>Von 3.127.759 Personen erhielten 2.112.003 (67,5 %) SMS-Erinnerungen. Teilnahmequote mit SMS: 51,7 % vs. ohne SMS: 25,0 %; Odds Ratio 3,36 (95%-KI 3,31–3,40, p &lt; 0,0001). SMS-Versand stieg Teilnahme um 1,7 Prozentpunkte.</w:t>
      </w:r>
    </w:p>
    <w:p>
      <w:r>
        <w:rPr>
          <w:b/>
          <w:sz w:val="19"/>
        </w:rPr>
        <w:t xml:space="preserve">Übertragbarkeit: </w:t>
      </w:r>
      <w:r>
        <w:rPr>
          <w:sz w:val="19"/>
        </w:rPr>
        <w:t>Britische Primärversorgung, gut übertragbar auf deutsche Screeningprogramme in der Hausarztpraxis</w:t>
      </w:r>
    </w:p>
    <w:p>
      <w:r>
        <w:rPr>
          <w:color w:val="5A7D3A"/>
          <w:sz w:val="18"/>
        </w:rPr>
        <w:t>https://pubmed.ncbi.nlm.nih.gov/42877070/</w:t>
      </w:r>
    </w:p>
    <w:p>
      <w:pPr>
        <w:pStyle w:val="Heading2"/>
      </w:pPr>
      <w:r>
        <w:t>Generationensolidarität in der Pandemie: Geschlechter- und Altersstereotype in deutschen Medien</w:t>
      </w:r>
    </w:p>
    <w:p>
      <w:r>
        <w:rPr>
          <w:i/>
          <w:color w:val="666666"/>
          <w:sz w:val="18"/>
        </w:rPr>
        <w:t>Boser EK et al.  ·  Int J Equity Health  ·  12.10.2026  ·  PMID 42875791</w:t>
      </w:r>
    </w:p>
    <w:p>
      <w:r>
        <w:t>Qualitative Inhaltsanalyse von 351 Artikeln aus zwei großen deutschen Wochenzeitungen (März 2020–Juni 2022) zur Verschränkung von Generationen-, Geschlechter- und Altersdebatten während COVID-19.</w:t>
      </w:r>
    </w:p>
    <w:p>
      <w:r>
        <w:rPr>
          <w:b/>
        </w:rPr>
        <w:t xml:space="preserve">Ergebnis: </w:t>
      </w:r>
      <w:r>
        <w:t>Mediendebatten zeigten Verwobenheit von Altersrassismus und Geschlechternormen. Zwei paradigmatische Fälle offenbarten persistente geschlechts- und altersspezifische Annahmen über Moralakteure und Solidaritätserwartungen. Festgestellte gendered age divide widerlegt simplistische Solidaritätsnarrative und bekräftigt Notwendigkeit intersektionaler Perspektiven.</w:t>
      </w:r>
    </w:p>
    <w:p>
      <w:r>
        <w:rPr>
          <w:b/>
          <w:sz w:val="19"/>
        </w:rPr>
        <w:t xml:space="preserve">Übertragbarkeit: </w:t>
      </w:r>
      <w:r>
        <w:rPr>
          <w:sz w:val="19"/>
        </w:rPr>
        <w:t>Deutsche Medienanalyse, direkt auf deutsches Versorgungssystem und Gesundheitspolitik anwendbar</w:t>
      </w:r>
    </w:p>
    <w:p>
      <w:r>
        <w:rPr>
          <w:color w:val="5A7D3A"/>
          <w:sz w:val="18"/>
        </w:rPr>
        <w:t>https://pubmed.ncbi.nlm.nih.gov/42875791/</w:t>
      </w:r>
    </w:p>
    <w:p>
      <w:pPr>
        <w:pStyle w:val="Heading2"/>
      </w:pPr>
      <w:r>
        <w:t>Kosteneffektivität von Rehabilitations-Follow-up zuhause statt in Einrichtungen</w:t>
      </w:r>
    </w:p>
    <w:p>
      <w:r>
        <w:rPr>
          <w:i/>
          <w:color w:val="666666"/>
          <w:sz w:val="18"/>
        </w:rPr>
        <w:t>Gamble CJ et al.  ·  Eur J Health Econ  ·  15.10.2026  ·  PMID 42875712</w:t>
      </w:r>
    </w:p>
    <w:p>
      <w:r>
        <w:t>Prospektive Kohortenstudie mit historischer Kontrolle: Vergleich von Heimrehabilitation nach verkürztem stationärem Aufenthalt versus konventioneller rein stationärer Rehabilitation (350 Patienten, 8 niederländische Zentren).</w:t>
      </w:r>
    </w:p>
    <w:p>
      <w:r>
        <w:rPr>
          <w:b/>
        </w:rPr>
        <w:t xml:space="preserve">Ergebnis: </w:t>
      </w:r>
      <w:r>
        <w:t>Incremental Effect: 0,44 Barthel-Index-Punkte (95%-KI −0,44 bis 1,31); Kosten: −€722,63 (95%-KI −€2.693,68 bis €1.248,43). Adjustierte Kosten betrugen −€654,72 pro Patient (95%-KI −€1.035,66 bis −€267,48). Better@Home erzielte vergleichbare ADL-Unabhängigkeit bei niedrigeren Kosten.</w:t>
      </w:r>
    </w:p>
    <w:p>
      <w:r>
        <w:rPr>
          <w:b/>
          <w:sz w:val="19"/>
        </w:rPr>
        <w:t xml:space="preserve">Übertragbarkeit: </w:t>
      </w:r>
      <w:r>
        <w:rPr>
          <w:sz w:val="19"/>
        </w:rPr>
        <w:t>Niederlande, Sozialversicherungssystem mit ähnlicher Versorgungsstruktur wie Deutschland</w:t>
      </w:r>
    </w:p>
    <w:p>
      <w:r>
        <w:rPr>
          <w:color w:val="5A7D3A"/>
          <w:sz w:val="18"/>
        </w:rPr>
        <w:t>https://pubmed.ncbi.nlm.nih.gov/42875712/</w:t>
      </w:r>
    </w:p>
    <w:p>
      <w:pPr>
        <w:pStyle w:val="Heading1"/>
      </w:pPr>
      <w:r>
        <w:t>Aufgenommen am 15.10.2026</w:t>
      </w:r>
    </w:p>
    <w:p>
      <w:pPr>
        <w:pStyle w:val="Heading2"/>
      </w:pPr>
      <w:r>
        <w:t>Online-Diabetesschulung in England: Langzeit-Kosteneffektivität einer kostenlosen Interventionen</w:t>
      </w:r>
    </w:p>
    <w:p>
      <w:r>
        <w:rPr>
          <w:i/>
          <w:color w:val="666666"/>
          <w:sz w:val="18"/>
        </w:rPr>
        <w:t>Paterson L et al.  ·  Diabet Med  ·  14.10.2026  ·  PMID 42875188</w:t>
      </w:r>
    </w:p>
    <w:p>
      <w:r>
        <w:t>Eine Simulation mit Routinedaten zur Kosteneffektivität eines kostenlosen Online-Schulungsprogramms für Typ-2-Diabetes in England über die gesamte Lebensspanne.</w:t>
      </w:r>
    </w:p>
    <w:p>
      <w:r>
        <w:rPr>
          <w:b/>
        </w:rPr>
        <w:t xml:space="preserve">Ergebnis: </w:t>
      </w:r>
      <w:r>
        <w:t>Modest improvement in health (0,016 QALYs), kleine Reduktion der Lebenszeit-Kosten (-4 £/Person), netto £216/Nutzer mit Cost-per-QALY von £13.192 unter dem NICE-Schwellenwert (£25.000/QALY), also kosteneffektiv.</w:t>
      </w:r>
    </w:p>
    <w:p>
      <w:r>
        <w:rPr>
          <w:b/>
          <w:sz w:val="19"/>
        </w:rPr>
        <w:t xml:space="preserve">Übertragbarkeit: </w:t>
      </w:r>
      <w:r>
        <w:rPr>
          <w:sz w:val="19"/>
        </w:rPr>
        <w:t>England, NHS-Perspektive; teilweise übertragbar auf deutsche gesetzliche Krankenversicherung bei ähnlichen Interventionskosten.</w:t>
      </w:r>
    </w:p>
    <w:p>
      <w:r>
        <w:rPr>
          <w:color w:val="5A7D3A"/>
          <w:sz w:val="18"/>
        </w:rPr>
        <w:t>https://pubmed.ncbi.nlm.nih.gov/42875188/</w:t>
      </w:r>
    </w:p>
    <w:p>
      <w:pPr>
        <w:pStyle w:val="Heading2"/>
      </w:pPr>
      <w:r>
        <w:t>Versorgungsungleichheiten bei kolorektalen Lebermetastasen in England</w:t>
      </w:r>
    </w:p>
    <w:p>
      <w:r>
        <w:rPr>
          <w:i/>
          <w:color w:val="666666"/>
          <w:sz w:val="18"/>
        </w:rPr>
        <w:t>Saito MK et al.  ·  J Cancer Policy  ·  14.10.2026  ·  PMID 42874958</w:t>
      </w:r>
    </w:p>
    <w:p>
      <w:r>
        <w:t>Analyse von Versorgungsungleichheiten in der Leberteilresektion bei synchronen/metachronen Lebermetastasen nach sozioökonomischem Status.</w:t>
      </w:r>
    </w:p>
    <w:p>
      <w:r>
        <w:rPr>
          <w:b/>
        </w:rPr>
        <w:t xml:space="preserve">Ergebnis: </w:t>
      </w:r>
      <w:r>
        <w:t>Kumulative Resektions-/Ablationsraten 8,7% (synchron) bzw. 23,5% (metachron); adjusted Ungleichheitslücke zwischen ärmster und wohlhabendster Gruppe 2,6% bei synchronen Metastasen, 1,0% bei metachronen.</w:t>
      </w:r>
    </w:p>
    <w:p>
      <w:r>
        <w:rPr>
          <w:b/>
          <w:sz w:val="19"/>
        </w:rPr>
        <w:t xml:space="preserve">Übertragbarkeit: </w:t>
      </w:r>
      <w:r>
        <w:rPr>
          <w:sz w:val="19"/>
        </w:rPr>
        <w:t>Englische Krebsregisterdaten; Befunde zur equity-gap in der Spezialisten-Zuweisung relevant für deutsche Diskussion zur Gleichheit der Krebsversorgung.</w:t>
      </w:r>
    </w:p>
    <w:p>
      <w:r>
        <w:rPr>
          <w:color w:val="5A7D3A"/>
          <w:sz w:val="18"/>
        </w:rPr>
        <w:t>https://pubmed.ncbi.nlm.nih.gov/42874958/</w:t>
      </w:r>
    </w:p>
    <w:p>
      <w:pPr>
        <w:pStyle w:val="Heading2"/>
      </w:pPr>
      <w:r>
        <w:t>Langzeitprognose zwangsweise psychiatrisch behandelter Personen in Norwegen</w:t>
      </w:r>
    </w:p>
    <w:p>
      <w:r>
        <w:rPr>
          <w:i/>
          <w:color w:val="666666"/>
          <w:sz w:val="18"/>
        </w:rPr>
        <w:t>Hofstad T et al.  ·  Lancet Psychiatry  ·  Nov. 2026  ·  PMID 42874602</w:t>
      </w:r>
    </w:p>
    <w:p>
      <w:r>
        <w:t>Nationale Registerstudie zur Langzeitprognose (Gesundheit, Kriminalität, Sozioökonomie) bei Personen mit Zwangsbetreuung, Zwangseinweisung und freiwilliger Behandlung.</w:t>
      </w:r>
    </w:p>
    <w:p>
      <w:r>
        <w:rPr>
          <w:b/>
        </w:rPr>
        <w:t xml:space="preserve">Ergebnis: </w:t>
      </w:r>
      <w:r>
        <w:t>Zwangsbetreuungsgruppen zeigten deutlich schlechtere Outcomes: Selbstschadensrisiko in Beobachtungsgruppe 12% (Frauen) vs. 5,5% (Männer); Substanzstörung 39-53%; Gewalt-/Sexualvergehen 14-37%; Invalidenrente CTOs 89-93%; 55,7% der Todesfälle durch Suizid/externe Ursachen.</w:t>
      </w:r>
    </w:p>
    <w:p>
      <w:r>
        <w:rPr>
          <w:b/>
          <w:sz w:val="19"/>
        </w:rPr>
        <w:t xml:space="preserve">Übertragbarkeit: </w:t>
      </w:r>
      <w:r>
        <w:rPr>
          <w:sz w:val="19"/>
        </w:rPr>
        <w:t>Norwegische Registerdaten, ähnlich skandinavisches Gesundheitssystem; Outcomes-Benchmarks für Versorgungsplanung relevant auch für deutsche Psychiatrie.</w:t>
      </w:r>
    </w:p>
    <w:p>
      <w:r>
        <w:rPr>
          <w:color w:val="5A7D3A"/>
          <w:sz w:val="18"/>
        </w:rPr>
        <w:t>https://pubmed.ncbi.nlm.nih.gov/42874602/</w:t>
      </w:r>
    </w:p>
    <w:p>
      <w:pPr>
        <w:pStyle w:val="Heading2"/>
      </w:pPr>
      <w:r>
        <w:t>Digitale Zwillinge und Patientenrechte: Qualitative Studie mit älteren Patienten</w:t>
      </w:r>
    </w:p>
    <w:p>
      <w:r>
        <w:rPr>
          <w:i/>
          <w:color w:val="666666"/>
          <w:sz w:val="18"/>
        </w:rPr>
        <w:t>Zhang W et al.  ·  BMC Health Serv Res  ·  27.08.2026  ·  PMID 42870264</w:t>
      </w:r>
    </w:p>
    <w:p>
      <w:r>
        <w:t>Qualitative Studie (22 Interviews) zu Perspektiven älterer Patienten (≥65 Jahren) mit chronischen Erkrankungen auf die Verwendung ihrer Daten für Virtual Models/digitale Zwillinge.</w:t>
      </w:r>
    </w:p>
    <w:p>
      <w:r>
        <w:rPr>
          <w:b/>
        </w:rPr>
        <w:t xml:space="preserve">Ergebnis: </w:t>
      </w:r>
      <w:r>
        <w:t>Fünf zentrale Themen: (1) Konzeptuelle Undurchsichtigkeit, (2) existenzielles Unbehagen vor manipulierbarem digitalen Abbild ('uncanny self'), (3) Zustimmungsinadäquanz, (4) 'trapped self' (irreversible Datenintegration), (5) Forderung nach Benachrichtigung, laufender Zustimmung, digitaler Löschung und Transparenz.</w:t>
      </w:r>
    </w:p>
    <w:p>
      <w:r>
        <w:rPr>
          <w:b/>
          <w:sz w:val="19"/>
        </w:rPr>
        <w:t xml:space="preserve">Übertragbarkeit: </w:t>
      </w:r>
      <w:r>
        <w:rPr>
          <w:sz w:val="19"/>
        </w:rPr>
        <w:t>Qualitative britische Studie (Wenzhou, China); Befunde zu Patientenperspektive auf KI-Datenverwertung systemübergreifend relevant für deutsche Governance und Ethik.</w:t>
      </w:r>
    </w:p>
    <w:p>
      <w:r>
        <w:rPr>
          <w:color w:val="5A7D3A"/>
          <w:sz w:val="18"/>
        </w:rPr>
        <w:t>https://pubmed.ncbi.nlm.nih.gov/42870264/</w:t>
      </w:r>
    </w:p>
    <w:p>
      <w:pPr>
        <w:pStyle w:val="Heading2"/>
      </w:pPr>
      <w:r>
        <w:t>Patientenwahl des Hausarztes: Kontextuelle Hindernisse in Schweden</w:t>
      </w:r>
    </w:p>
    <w:p>
      <w:r>
        <w:rPr>
          <w:i/>
          <w:color w:val="666666"/>
          <w:sz w:val="18"/>
        </w:rPr>
        <w:t>Blomberg-Ohlström C et al.  ·  BMC Health Serv Res  ·  11.10.2026  ·  PMID 42870246</w:t>
      </w:r>
    </w:p>
    <w:p>
      <w:r>
        <w:t>Qualitative Studie (18 Interviews) zu Bedingungen, die Wahlentscheidungen für Hausarztpraxen beeinflussen; Vergleich mit Wahlen von Pflege- und Schulservices.</w:t>
      </w:r>
    </w:p>
    <w:p>
      <w:r>
        <w:rPr>
          <w:b/>
        </w:rPr>
        <w:t xml:space="preserve">Ergebnis: </w:t>
      </w:r>
      <w:r>
        <w:t>Fünf Kontextfaktoren für niedrige Wahlaktivität: (1) geringe Wahlnotwendigkeit, (2) unsichtbare Anbieterunterschied, (3) Erwartung gleicher Qualität, (4) persönliche Beziehungen, (5) Kontinuität der Beziehung; weniger Informationssuche als bei anderen Dienstleistungen.</w:t>
      </w:r>
    </w:p>
    <w:p>
      <w:r>
        <w:rPr>
          <w:b/>
          <w:sz w:val="19"/>
        </w:rPr>
        <w:t xml:space="preserve">Übertragbarkeit: </w:t>
      </w:r>
      <w:r>
        <w:rPr>
          <w:sz w:val="19"/>
        </w:rPr>
        <w:t>Schwedische qualitative Studie; Befunde zu Wahl-Hürden im Hausarztsektor übertragbar auf deutsches Modell mit begrenztem Wettbewerb.</w:t>
      </w:r>
    </w:p>
    <w:p>
      <w:r>
        <w:rPr>
          <w:color w:val="5A7D3A"/>
          <w:sz w:val="18"/>
        </w:rPr>
        <w:t>https://pubmed.ncbi.nlm.nih.gov/42870246/</w:t>
      </w:r>
    </w:p>
    <w:p>
      <w:pPr>
        <w:pStyle w:val="Heading2"/>
      </w:pPr>
      <w:r>
        <w:t>Nurse-Navigation bei Krebspatienten: RCT-Ergebnisse aus Sachsen</w:t>
      </w:r>
    </w:p>
    <w:p>
      <w:r>
        <w:rPr>
          <w:i/>
          <w:color w:val="666666"/>
          <w:sz w:val="18"/>
        </w:rPr>
        <w:t>Porzig R et al.  ·  Res Health Serv Reg  ·  14.10.2026  ·  PMID 42870145</w:t>
      </w:r>
    </w:p>
    <w:p>
      <w:r>
        <w:t>Randomisierte kontrollierte Studie zur Wirkung eines 12-Monate-Nurse-Navigation-Programms (Onkolotse) auf Krankenhausaufenthalte, psychische Belastung und Kosten.</w:t>
      </w:r>
    </w:p>
    <w:p>
      <w:r>
        <w:rPr>
          <w:b/>
        </w:rPr>
        <w:t xml:space="preserve">Ergebnis: </w:t>
      </w:r>
      <w:r>
        <w:t>Hospitalisierungsrate ITT 43,9% (Intervention) vs. 51,6% (Kontrolle), n.s. (OR 0,74, 95% CI 0,45–1,20, p=0,219); HADS-Angst Δ-0,75 (n.s.), Depression Δ-0,56 (n.s.); Kosten median 14.224€ vs. 12.560€ (n.s.).</w:t>
      </w:r>
    </w:p>
    <w:p>
      <w:r>
        <w:rPr>
          <w:b/>
          <w:sz w:val="19"/>
        </w:rPr>
        <w:t xml:space="preserve">Übertragbarkeit: </w:t>
      </w:r>
      <w:r>
        <w:rPr>
          <w:sz w:val="19"/>
        </w:rPr>
        <w:t>Deutsche Studie (Sachsen, 258 Patienten, 2017–2022); direkt relevant für deutsches Versorgungssystem, dennoch unterversorgt (statistische Kraft unzureichend).</w:t>
      </w:r>
    </w:p>
    <w:p>
      <w:r>
        <w:rPr>
          <w:color w:val="5A7D3A"/>
          <w:sz w:val="18"/>
        </w:rPr>
        <w:t>https://pubmed.ncbi.nlm.nih.gov/42870145/</w:t>
      </w:r>
    </w:p>
    <w:p>
      <w:pPr>
        <w:pStyle w:val="Heading1"/>
      </w:pPr>
      <w:r>
        <w:t>Aufgenommen am 14.10.2026</w:t>
      </w:r>
    </w:p>
    <w:p>
      <w:pPr>
        <w:pStyle w:val="Heading2"/>
      </w:pPr>
      <w:r>
        <w:t>Stepped-Care-Modell für Opioidabhängige: Besserer Zugang zu Medikamenten</w:t>
      </w:r>
    </w:p>
    <w:p>
      <w:r>
        <w:rPr>
          <w:i/>
          <w:color w:val="666666"/>
          <w:sz w:val="18"/>
        </w:rPr>
        <w:t>Li H et al.  ·  Health Serv Res  ·  Okt. 2026  ·  PMID 42869778</w:t>
      </w:r>
    </w:p>
    <w:p>
      <w:r>
        <w:t>Eine US-Studie evaluierte, ob ein nationales Trainings-Programm (SCOUTT) zur Ausweitung der medikamentösen Opioidbehandlung in Primärversorgung und psychischen Gesundheitssettings bei obdacherfahrenen Veterans erfolgreicher war als reguläre Versorgung.</w:t>
      </w:r>
    </w:p>
    <w:p>
      <w:r>
        <w:rPr>
          <w:b/>
        </w:rPr>
        <w:t xml:space="preserve">Ergebnis: </w:t>
      </w:r>
      <w:r>
        <w:t>Patienten in SCOUTT-Einrichtungen erhielten signifikant häufiger Medikamentöse Opioidbehandlung (6,16 Prozentpunkte mehr jegliche MOUD, 7,16 Punkte mehr Buprenorphin; beides 95%-KI statistisch signifikant). Die Differenz-in-Differenzen-Analyse bestätigte diese Ergebnisse (7,85 bzw. 9,31 Punkte Unterschied).</w:t>
      </w:r>
    </w:p>
    <w:p>
      <w:r>
        <w:rPr>
          <w:b/>
          <w:sz w:val="19"/>
        </w:rPr>
        <w:t xml:space="preserve">Übertragbarkeit: </w:t>
      </w:r>
      <w:r>
        <w:rPr>
          <w:sz w:val="19"/>
        </w:rPr>
        <w:t>US-Veteranen-System, eingeschränkte Übertragbarkeit auf deutsche Sozialversicherung</w:t>
      </w:r>
    </w:p>
    <w:p>
      <w:r>
        <w:rPr>
          <w:color w:val="5A7D3A"/>
          <w:sz w:val="18"/>
        </w:rPr>
        <w:t>https://pubmed.ncbi.nlm.nih.gov/42869778/</w:t>
      </w:r>
    </w:p>
    <w:p>
      <w:pPr>
        <w:pStyle w:val="Heading2"/>
      </w:pPr>
      <w:r>
        <w:t>Psychische Erkrankungen nach Klinikentlassung: Familien und Profis teilen Medikamenten-Verantwortung</w:t>
      </w:r>
    </w:p>
    <w:p>
      <w:r>
        <w:rPr>
          <w:i/>
          <w:color w:val="666666"/>
          <w:sz w:val="18"/>
        </w:rPr>
        <w:t>Jeffries M et al.  ·  Soc Sci Med  ·  08.10.2026  ·  PMID 42868728</w:t>
      </w:r>
    </w:p>
    <w:p>
      <w:r>
        <w:t>Eine britische Qualitativstudie mit 34 Interviews (Patienten, Angehörige, Gesundheitsfachleute) untersuchte, welche Unterstützungsnetzwerke für sichere Medikamentenadhärenz nach psychiatrischer Klinikentlassung notwendig sind.</w:t>
      </w:r>
    </w:p>
    <w:p>
      <w:r>
        <w:rPr>
          <w:b/>
        </w:rPr>
        <w:t xml:space="preserve">Ergebnis: </w:t>
      </w:r>
      <w:r>
        <w:t>Kernfinding: Medikamentensicherheit nach Entlassung beruht stark auf Unterstützungsnetzwerken und der Medikamenten-'Arbeit' von Patienten und Angehörigen. Professionelle Gesundheitsfachleute spielen eine zentrale, aber variable und kontextabhängige Rolle. Notwendigkeit erkannt: Stärkere Anerkennung von Sozialkontakten und 'situated medicines work' für bessere Sicherheit.</w:t>
      </w:r>
    </w:p>
    <w:p>
      <w:r>
        <w:rPr>
          <w:b/>
          <w:sz w:val="19"/>
        </w:rPr>
        <w:t xml:space="preserve">Übertragbarkeit: </w:t>
      </w:r>
      <w:r>
        <w:rPr>
          <w:sz w:val="19"/>
        </w:rPr>
        <w:t>Großbritannien, NHS-System; Erkenntnisse zu Netzwerken übertragbar auf deutsche Gemeindepsychiatrie</w:t>
      </w:r>
    </w:p>
    <w:p>
      <w:r>
        <w:rPr>
          <w:color w:val="5A7D3A"/>
          <w:sz w:val="18"/>
        </w:rPr>
        <w:t>https://pubmed.ncbi.nlm.nih.gov/42868728/</w:t>
      </w:r>
    </w:p>
    <w:p>
      <w:pPr>
        <w:pStyle w:val="Heading2"/>
      </w:pPr>
      <w:r>
        <w:t>Arbeit und Therapietreue: Sozialer Zusammenhalt im Beruf fördert Adherence</w:t>
      </w:r>
    </w:p>
    <w:p>
      <w:r>
        <w:rPr>
          <w:i/>
          <w:color w:val="666666"/>
          <w:sz w:val="18"/>
        </w:rPr>
        <w:t>Aalbers E et al.  ·  PLoS One  ·  13.10.2026  ·  PMID 42868134</w:t>
      </w:r>
    </w:p>
    <w:p>
      <w:r>
        <w:t>Eine niederländische Querschnittsstudie untersuchte bei 309 berufstätigen Personen mit chronischen Erkrankungen, wie Arbeitsmerkmale (Umfang, Anforderungen, Inklusion) mit der Einhaltung von Medikamenten- und Termintreue assoziiert sind.</w:t>
      </w:r>
    </w:p>
    <w:p>
      <w:r>
        <w:rPr>
          <w:b/>
        </w:rPr>
        <w:t xml:space="preserve">Ergebnis: </w:t>
      </w:r>
      <w:r>
        <w:t>Therapietreue-Rate betrug 56 Prozent. Soziale Inklusion am Arbeitsplatz erhöhte die Adhärenz signifikant (adjustierte OR 1,50, 95%-KI 1,00-2,25, p=0,049). Moderate physische Arbeitsanforderungen waren mit niedrigerer Adhärenz assoziiert (aOR 0,49, 95%-KI 0,26-0,92, p=0,026).</w:t>
      </w:r>
    </w:p>
    <w:p>
      <w:r>
        <w:rPr>
          <w:b/>
          <w:sz w:val="19"/>
        </w:rPr>
        <w:t xml:space="preserve">Übertragbarkeit: </w:t>
      </w:r>
      <w:r>
        <w:rPr>
          <w:sz w:val="19"/>
        </w:rPr>
        <w:t>Niederlande, vergleichbares Sozialversicherungssystem mit chronisch kranker Erwerbsbevölkerung</w:t>
      </w:r>
    </w:p>
    <w:p>
      <w:r>
        <w:rPr>
          <w:color w:val="5A7D3A"/>
          <w:sz w:val="18"/>
        </w:rPr>
        <w:t>https://pubmed.ncbi.nlm.nih.gov/42868134/</w:t>
      </w:r>
    </w:p>
    <w:p>
      <w:pPr>
        <w:pStyle w:val="Heading2"/>
      </w:pPr>
      <w:r>
        <w:t>Digitale Fragebögien vor Arztbesuch: Dokumentation wird vollständiger</w:t>
      </w:r>
    </w:p>
    <w:p>
      <w:r>
        <w:rPr>
          <w:i/>
          <w:color w:val="666666"/>
          <w:sz w:val="18"/>
        </w:rPr>
        <w:t>Roemer A et al.  ·  BMC Health Serv Res  ·  09.10.2026  ·  PMID 42864663</w:t>
      </w:r>
    </w:p>
    <w:p>
      <w:r>
        <w:t>Eine deutschsprachige Pilotstudie (n=43) aus Rheumatologie, Dermatologie und Orthopädie testete, ob computergenerierte Patientenfragebögien mit standardisierter Zusammenfassung vor dem Termin die Vollständigkeit der klinischen Dokumentation verbessert.</w:t>
      </w:r>
    </w:p>
    <w:p>
      <w:r>
        <w:rPr>
          <w:b/>
        </w:rPr>
        <w:t xml:space="preserve">Ergebnis: </w:t>
      </w:r>
      <w:r>
        <w:t>Dokumentationsvollständigkeit stieg von 46,9 Prozent (Kontrolle) auf 100 Prozent (Intervention) im Median (p&lt;0,001). Alle Interventions-Patienten hatten die generierte Zusammenfassung in der Krankenakte. 95,3 Prozent der Patienten und 100 Prozent der Ärzte befürworteten das System.</w:t>
      </w:r>
    </w:p>
    <w:p>
      <w:r>
        <w:rPr>
          <w:b/>
          <w:sz w:val="19"/>
        </w:rPr>
        <w:t xml:space="preserve">Übertragbarkeit: </w:t>
      </w:r>
      <w:r>
        <w:rPr>
          <w:sz w:val="19"/>
        </w:rPr>
        <w:t>Deutsche Studienzentren, direkt anwendbar auf deutsches Versorgungssystem</w:t>
      </w:r>
    </w:p>
    <w:p>
      <w:r>
        <w:rPr>
          <w:color w:val="5A7D3A"/>
          <w:sz w:val="18"/>
        </w:rPr>
        <w:t>https://pubmed.ncbi.nlm.nih.gov/42864663/</w:t>
      </w:r>
    </w:p>
    <w:p>
      <w:pPr>
        <w:pStyle w:val="Heading2"/>
      </w:pPr>
      <w:r>
        <w:t>Hausärzte-Ausbildung: Umgang mit Unsicherheit muss trainiert werden</w:t>
      </w:r>
    </w:p>
    <w:p>
      <w:r>
        <w:rPr>
          <w:i/>
          <w:color w:val="666666"/>
          <w:sz w:val="18"/>
        </w:rPr>
        <w:t>Dreher AC et al.  ·  BMC Med Educ  ·  12.10.2026  ·  PMID 42864649</w:t>
      </w:r>
    </w:p>
    <w:p>
      <w:r>
        <w:t>Eine qualitative Studie mit 22 deutschen Hausarzt-Weiterbildungsassistenten (Heidelberg) explorierte, wie Ärzte-in-Ausbildung Unsicherheit in der Primärversorgung erleben und bewältigen.</w:t>
      </w:r>
    </w:p>
    <w:p>
      <w:r>
        <w:rPr>
          <w:b/>
        </w:rPr>
        <w:t xml:space="preserve">Ergebnis: </w:t>
      </w:r>
      <w:r>
        <w:t>Trainees berichten von Unsicherheit auf drei Ebenen: Selbstzweifel (intrapersonal), Patientenfaktoren (interpersonal) und Kontext (systemisch). Bewältigungsstrategien waren Abwarten, Kollegenrat, externe Quellen und Intuition. Kernaussage: Gezieltes Training für Unsicherheitsmanagement fehlt und wäre nötig.</w:t>
      </w:r>
    </w:p>
    <w:p>
      <w:r>
        <w:rPr>
          <w:b/>
          <w:sz w:val="19"/>
        </w:rPr>
        <w:t xml:space="preserve">Übertragbarkeit: </w:t>
      </w:r>
      <w:r>
        <w:rPr>
          <w:sz w:val="19"/>
        </w:rPr>
        <w:t>Deutsche Hausarzt-Weiterbildung, direkt auf deutsche Versorgung anwendbar</w:t>
      </w:r>
    </w:p>
    <w:p>
      <w:r>
        <w:rPr>
          <w:color w:val="5A7D3A"/>
          <w:sz w:val="18"/>
        </w:rPr>
        <w:t>https://pubmed.ncbi.nlm.nih.gov/42864649/</w:t>
      </w:r>
    </w:p>
    <w:p>
      <w:pPr>
        <w:pStyle w:val="Heading2"/>
      </w:pPr>
      <w:r>
        <w:t>Lebensqualität bei chronischen Wunden: Spanische Cutoff-Werte für klinische Praxis</w:t>
      </w:r>
    </w:p>
    <w:p>
      <w:r>
        <w:rPr>
          <w:i/>
          <w:color w:val="666666"/>
          <w:sz w:val="18"/>
        </w:rPr>
        <w:t>Horcajada-Reales C et al.  ·  Int Wound J  ·  Okt. 2026  ·  PMID 42830425</w:t>
      </w:r>
    </w:p>
    <w:p>
      <w:r>
        <w:t>Eine spanische Validierungsstudie (n=323 Baseline, n=197 Retest) etablierte klinisch interpretierbare Schwellenwerte und Responsivitätsmaße für das Wound-QoL-14-Instrument zur Messung von Wundassoziierter Lebensqualität.</w:t>
      </w:r>
    </w:p>
    <w:p>
      <w:r>
        <w:rPr>
          <w:b/>
        </w:rPr>
        <w:t xml:space="preserve">Ergebnis: </w:t>
      </w:r>
      <w:r>
        <w:t>Einfache Schweregrad-Klassifizierung (0-0,25 / 0,26-1,00 / 1,01-2,00 / 2,01-3,00 / 3,01-4,00) korrelierte moderat mit globaler Verankerungsfrage (polychorische Korrelation 0,653), aber geringe Übereinstimmung (41,5 Prozent Konkordanz, Krippendorffs Alfa 0,609). Smallest detectable change 0,39 Punkte vs. minimale klinisch relevante Differenz 0,53 Punkte.</w:t>
      </w:r>
    </w:p>
    <w:p>
      <w:r>
        <w:rPr>
          <w:b/>
          <w:sz w:val="19"/>
        </w:rPr>
        <w:t xml:space="preserve">Übertragbarkeit: </w:t>
      </w:r>
      <w:r>
        <w:rPr>
          <w:sz w:val="19"/>
        </w:rPr>
        <w:t>Spanien, deutschsprachiger Wundbereich; kulturell angepasste Schwellenwerte hilfreich für deutschsprachige Praxis</w:t>
      </w:r>
    </w:p>
    <w:p>
      <w:r>
        <w:rPr>
          <w:color w:val="5A7D3A"/>
          <w:sz w:val="18"/>
        </w:rPr>
        <w:t>https://pubmed.ncbi.nlm.nih.gov/42830425/</w:t>
      </w:r>
    </w:p>
    <w:p>
      <w:pPr>
        <w:pStyle w:val="Heading1"/>
      </w:pPr>
      <w:r>
        <w:t>Aufgenommen am 13.10.2026</w:t>
      </w:r>
    </w:p>
    <w:p>
      <w:pPr>
        <w:pStyle w:val="Heading2"/>
      </w:pPr>
      <w:r>
        <w:t>Ambulante Versorgungspfade vor Sepsishospitalisierung</w:t>
      </w:r>
    </w:p>
    <w:p>
      <w:r>
        <w:rPr>
          <w:i/>
          <w:color w:val="666666"/>
          <w:sz w:val="18"/>
        </w:rPr>
        <w:t>Storch J et al.  ·  Infection  ·  12.10.2026  ·  PMID 42862469</w:t>
      </w:r>
    </w:p>
    <w:p>
      <w:r>
        <w:t>Bevölkerungsbasierte Analyse deutscher Versichertendaten zu ambulanten Kontakten vor stationärer Sepsisaufnahme: 61,8 % hatten nur ambulante Versorgung, 12,7 % Notfallversorgung, 25,5 % keine Kontakte in der Woche vor Hospitalisierung.</w:t>
      </w:r>
    </w:p>
    <w:p>
      <w:r>
        <w:rPr>
          <w:b/>
        </w:rPr>
        <w:t xml:space="preserve">Ergebnis: </w:t>
      </w:r>
      <w:r>
        <w:t>Bei ambulant versorgten Patienten: durchschnittlich 2,0 Tage (SD 2,3) zwischen letztem infektionsbezogenen Kontakt und Sepsishospitalisierung; 82,3 % hatten Kontakt mit Hausarzt; nur 11,4 % erhielten Antiinfektiva-Verschreibungen. Hinweis auf Chancen zur früheren Sepsis-Erkennung in ambulanten Settings.</w:t>
      </w:r>
    </w:p>
    <w:p>
      <w:r>
        <w:rPr>
          <w:b/>
          <w:sz w:val="19"/>
        </w:rPr>
        <w:t xml:space="preserve">Übertragbarkeit: </w:t>
      </w:r>
      <w:r>
        <w:rPr>
          <w:sz w:val="19"/>
        </w:rPr>
        <w:t>Deutsche Routinedaten (AOK) mit 238.247 Patienten, hohe Übertragbarkeit auf hiesiges Versorgungssystem</w:t>
      </w:r>
    </w:p>
    <w:p>
      <w:r>
        <w:rPr>
          <w:color w:val="5A7D3A"/>
          <w:sz w:val="18"/>
        </w:rPr>
        <w:t>https://pubmed.ncbi.nlm.nih.gov/42862469/</w:t>
      </w:r>
    </w:p>
    <w:p>
      <w:pPr>
        <w:pStyle w:val="Heading2"/>
      </w:pPr>
      <w:r>
        <w:t>Beteiligung älterer Menschen mit Sturztrauma in Forschung</w:t>
      </w:r>
    </w:p>
    <w:p>
      <w:r>
        <w:rPr>
          <w:i/>
          <w:color w:val="666666"/>
          <w:sz w:val="18"/>
        </w:rPr>
        <w:t>Reeck N et al.  ·  Health Expect  ·  Okt. 2026  ·  PMID 42861438</w:t>
      </w:r>
    </w:p>
    <w:p>
      <w:r>
        <w:t>Qualitative Evaluationsstudie zur Partizipation von 8 älteren Personen mit Sturzererfahrung über 3 Jahre; Bewertung mit Evaluationsinstrumenten und Prozessdokumentation.</w:t>
      </w:r>
    </w:p>
    <w:p>
      <w:r>
        <w:rPr>
          <w:b/>
        </w:rPr>
        <w:t xml:space="preserve">Ergebnis: </w:t>
      </w:r>
      <w:r>
        <w:t>Kern-Befunde: Positive Atmosphäre bei Treffen, anfängliche Unklarheit über Projektzweck; Partizipatives Forschungsteam beeinflusste verschiedene Projektphasen (z.B. Fokusgruppen-Design); gesundheitsbedingte Absenzen erforderten Aufnahme von 3 neuen Teilnehmern; Kontextfaktoren (Infrastruktur) unterstützend, aber verbesserte Informationsstrukturen nötig.</w:t>
      </w:r>
    </w:p>
    <w:p>
      <w:r>
        <w:rPr>
          <w:b/>
          <w:sz w:val="19"/>
        </w:rPr>
        <w:t xml:space="preserve">Übertragbarkeit: </w:t>
      </w:r>
      <w:r>
        <w:rPr>
          <w:sz w:val="19"/>
        </w:rPr>
        <w:t>Deutsche Universität (Oldenburg), geriatrisches Setting, Methoden der Patient Engagement-Evaluierung</w:t>
      </w:r>
    </w:p>
    <w:p>
      <w:r>
        <w:rPr>
          <w:color w:val="5A7D3A"/>
          <w:sz w:val="18"/>
        </w:rPr>
        <w:t>https://pubmed.ncbi.nlm.nih.gov/42861438/</w:t>
      </w:r>
    </w:p>
    <w:p>
      <w:pPr>
        <w:pStyle w:val="Heading2"/>
      </w:pPr>
      <w:r>
        <w:t>Repräsentativität von Brustkrebs-Befragten in England</w:t>
      </w:r>
    </w:p>
    <w:p>
      <w:r>
        <w:rPr>
          <w:i/>
          <w:color w:val="666666"/>
          <w:sz w:val="18"/>
        </w:rPr>
        <w:t>Blacker S et al.  ·  BMJ Open  ·  09.10.2026  ·  PMID 42855234</w:t>
      </w:r>
    </w:p>
    <w:p>
      <w:r>
        <w:t>Kohortenstudie mit Datenverknüpfung von nationaler Patientenerfahrungsbefragung mit Krebsregister zur Beurteilung der Selektionsbias bei Rücklaufquoten.</w:t>
      </w:r>
    </w:p>
    <w:p>
      <w:r>
        <w:rPr>
          <w:b/>
        </w:rPr>
        <w:t xml:space="preserve">Ergebnis: </w:t>
      </w:r>
      <w:r>
        <w:t>Linked Analyse von 71.640 Brustkrebs-Patientinnen zeigte, welche Charakteristika mit Rücklauf assoziiert waren; Identifikation systemischer Unterschiede zwischen Respondern und Nicht-Respondern für informierte Bias-Interpretation in zukünftigen Experience-Surveys.</w:t>
      </w:r>
    </w:p>
    <w:p>
      <w:r>
        <w:rPr>
          <w:b/>
          <w:sz w:val="19"/>
        </w:rPr>
        <w:t xml:space="preserve">Übertragbarkeit: </w:t>
      </w:r>
      <w:r>
        <w:rPr>
          <w:sz w:val="19"/>
        </w:rPr>
        <w:t>Methodische Versorgungsforschung, NHS-Daten, Sampling-Fragen auch in Deutschland relevant</w:t>
      </w:r>
    </w:p>
    <w:p>
      <w:r>
        <w:rPr>
          <w:color w:val="5A7D3A"/>
          <w:sz w:val="18"/>
        </w:rPr>
        <w:t>https://pubmed.ncbi.nlm.nih.gov/42855234/</w:t>
      </w:r>
    </w:p>
    <w:p>
      <w:pPr>
        <w:pStyle w:val="Heading2"/>
      </w:pPr>
      <w:r>
        <w:t>Labor-Phänotypen nach Reanimation und Mortalität</w:t>
      </w:r>
    </w:p>
    <w:p>
      <w:r>
        <w:rPr>
          <w:i/>
          <w:color w:val="666666"/>
          <w:sz w:val="18"/>
        </w:rPr>
        <w:t>Liu X et al.  ·  Resuscitation  ·  09.10.2026  ·  PMID 42855036</w:t>
      </w:r>
    </w:p>
    <w:p>
      <w:r>
        <w:t>Nationale 10-Jahres-Kohortenstudie aus Singapur (1514 reanimierte Patienten) mit Latent-Class-Analyse von 14 Laborvariablen innerhalb 6 Stunden nach ROSC zur Vorhersage neurologischer Outcomes.</w:t>
      </w:r>
    </w:p>
    <w:p>
      <w:r>
        <w:rPr>
          <w:b/>
        </w:rPr>
        <w:t xml:space="preserve">Ergebnis: </w:t>
      </w:r>
      <w:r>
        <w:t>Drei prognostisch distinkte Phänotypen identifiziert: Multi-Organ-Dysfunktion (MOD, N=286), Homeostase (HOM, N=967), Immun-Dysregulation (IMD, N=261). HOM und IMD hatten niedrigere Odds für schlechte neurologische Erholung vs. MOD (aOR 0,50 bzw. 0,46, p≤0,004). Unterschiede auch für 30-Tage- und 3-Jahres-Mortalität signifikant (aHR 0,71–0,78).</w:t>
      </w:r>
    </w:p>
    <w:p>
      <w:r>
        <w:rPr>
          <w:b/>
          <w:sz w:val="19"/>
        </w:rPr>
        <w:t xml:space="preserve">Übertragbarkeit: </w:t>
      </w:r>
      <w:r>
        <w:rPr>
          <w:sz w:val="19"/>
        </w:rPr>
        <w:t>Nationale Kohortendaten Singapur, externe Validierung erforderlich, Laborbiomarker systemunabhängig</w:t>
      </w:r>
    </w:p>
    <w:p>
      <w:r>
        <w:rPr>
          <w:color w:val="5A7D3A"/>
          <w:sz w:val="18"/>
        </w:rPr>
        <w:t>https://pubmed.ncbi.nlm.nih.gov/42855036/</w:t>
      </w:r>
    </w:p>
    <w:p>
      <w:pPr>
        <w:pStyle w:val="Heading2"/>
      </w:pPr>
      <w:r>
        <w:t>Infektionsrisiko unter Rituximab-Therapie bei MS</w:t>
      </w:r>
    </w:p>
    <w:p>
      <w:r>
        <w:rPr>
          <w:i/>
          <w:color w:val="666666"/>
          <w:sz w:val="18"/>
        </w:rPr>
        <w:t>Pihl-Jensen G et al.  ·  Neurol Clin Pract  ·  08.10.2026  ·  PMID 42854181</w:t>
      </w:r>
    </w:p>
    <w:p>
      <w:r>
        <w:t>Norwegische national-weite Beobachtungsstudie (Verknüpfung Gesundheitsregister mit MS-Registry 2010–Juni 2022) bei 3.410 MS-Patienten zu Infektionsrisiko unter Rituximab nach Dosierungsintervall und Alter.</w:t>
      </w:r>
    </w:p>
    <w:p>
      <w:r>
        <w:rPr>
          <w:b/>
        </w:rPr>
        <w:t xml:space="preserve">Ergebnis: </w:t>
      </w:r>
      <w:r>
        <w:t>13.774 Infektionen auf 13.811 Behandlungsepisoden. Verlängerte Dosierungsintervalle assoziiert mit niedrigerem Gesamtinfektionsrisiko: 2 vs. 4 Infusionen/2 Jahre HR 0,90 (95% CI 0,82–0,99); 1 Infusion HR 0,78 (0,69–0,88). Krankenhaus-Infektionen: nur HR 0,68 (0,59–0,79) für 1 vs. 4 Infusionen. Alter ≥60 Jahre HR 1,36 (1,07–1,71) für Klinik-Infektionen.</w:t>
      </w:r>
    </w:p>
    <w:p>
      <w:r>
        <w:rPr>
          <w:b/>
          <w:sz w:val="19"/>
        </w:rPr>
        <w:t xml:space="preserve">Übertragbarkeit: </w:t>
      </w:r>
      <w:r>
        <w:rPr>
          <w:sz w:val="19"/>
        </w:rPr>
        <w:t>Norwegen (skandinavisches Versorgungssystem), Behandlungs-Effektivität und Sicherheit grundsätzlich transferabel</w:t>
      </w:r>
    </w:p>
    <w:p>
      <w:r>
        <w:rPr>
          <w:color w:val="5A7D3A"/>
          <w:sz w:val="18"/>
        </w:rPr>
        <w:t>https://pubmed.ncbi.nlm.nih.gov/42854181/</w:t>
      </w:r>
    </w:p>
    <w:p>
      <w:pPr>
        <w:pStyle w:val="Heading2"/>
      </w:pPr>
      <w:r>
        <w:t>Postpartales Medicaid-Coverage und Mütter-Erfahrungen</w:t>
      </w:r>
    </w:p>
    <w:p>
      <w:r>
        <w:rPr>
          <w:i/>
          <w:color w:val="666666"/>
          <w:sz w:val="18"/>
        </w:rPr>
        <w:t>Raffa BJ et al.  ·  JAMA Netw Open  ·  01.10.2026  ·  PMID 42853565</w:t>
      </w:r>
    </w:p>
    <w:p>
      <w:r>
        <w:t>Qualitative Studie mit 16 Müttern (semistrukturierte Interviews, April–Oktober 2025) in Nordkarolina zur Erfahrung mit erweitertem postpartalen Medicaid-Coverage (60 Tage auf 12 Monate).</w:t>
      </w:r>
    </w:p>
    <w:p>
      <w:r>
        <w:rPr>
          <w:b/>
        </w:rPr>
        <w:t xml:space="preserve">Ergebnis: </w:t>
      </w:r>
      <w:r>
        <w:t>Fünf Hauptthemen: Verwirrung um Coverage, Medicaid ermöglicht Versorgungszugang, psychische Gesundheit kritisch im postpartalen Zeitfenster, reduzierter finanzischer Stress mit verbesserter Familiendynamik, Medicaid verhindert Versorgungsverzicht. Bewusstsein über Policy-Änderungen war Schlüssel für Nutzen.</w:t>
      </w:r>
    </w:p>
    <w:p>
      <w:r>
        <w:rPr>
          <w:b/>
          <w:sz w:val="19"/>
        </w:rPr>
        <w:t xml:space="preserve">Übertragbarkeit: </w:t>
      </w:r>
      <w:r>
        <w:rPr>
          <w:sz w:val="19"/>
        </w:rPr>
        <w:t>Nur bedingt: US-Medicaid-System, andere Finanzierungslogik als deutsche gesetzliche Versicherung</w:t>
      </w:r>
    </w:p>
    <w:p>
      <w:r>
        <w:rPr>
          <w:color w:val="5A7D3A"/>
          <w:sz w:val="18"/>
        </w:rPr>
        <w:t>https://pubmed.ncbi.nlm.nih.gov/42853565/</w:t>
      </w:r>
    </w:p>
    <w:p>
      <w:pPr>
        <w:pStyle w:val="Heading1"/>
      </w:pPr>
      <w:r>
        <w:t>Aufgenommen am 12.10.2026</w:t>
      </w:r>
    </w:p>
    <w:p>
      <w:pPr>
        <w:pStyle w:val="Heading2"/>
      </w:pPr>
      <w:r>
        <w:t>Operative Wartezeiten bei Nierenzellkarzinom in England</w:t>
      </w:r>
    </w:p>
    <w:p>
      <w:r>
        <w:rPr>
          <w:i/>
          <w:color w:val="666666"/>
          <w:sz w:val="18"/>
        </w:rPr>
        <w:t>Varma R et al.  ·  BJU Int  ·  11.10.2026  ·  PMID 42860314</w:t>
      </w:r>
    </w:p>
    <w:p>
      <w:r>
        <w:t>Studie zu Wartezeiten auf operative Behandlung bei Patienten mit hochrisiko- und niedrigrisiko-Nierenzellkarzinom in England, 2019–2023.</w:t>
      </w:r>
    </w:p>
    <w:p>
      <w:r>
        <w:rPr>
          <w:b/>
        </w:rPr>
        <w:t xml:space="preserve">Ergebnis: </w:t>
      </w:r>
      <w:r>
        <w:t>Anteil zeitnaher Operationen (≤31 Tage) sank bei hochrisiko-RCC von 83,7% (2019) auf 64,8% (2023), bei niedrigrisiko-RCC von 71,3% auf 47,6%. Verlängerte Verzögerungen (&gt;62 Tage) verdoppelten sich von 3,9% auf 9,4%. Hochrisiko-Patienten wurden bevorzugt (73,6% vs. 58,2%, adjustierte RR 1,26, KI 1,22–1,31).</w:t>
      </w:r>
    </w:p>
    <w:p>
      <w:r>
        <w:rPr>
          <w:b/>
          <w:sz w:val="19"/>
        </w:rPr>
        <w:t xml:space="preserve">Übertragbarkeit: </w:t>
      </w:r>
      <w:r>
        <w:rPr>
          <w:sz w:val="19"/>
        </w:rPr>
        <w:t>England, NHS-System mit anderen Zugangsstrukturen, aber versorgungsnahe Frage zur chirurgischen Kapazität</w:t>
      </w:r>
    </w:p>
    <w:p>
      <w:r>
        <w:rPr>
          <w:color w:val="5A7D3A"/>
          <w:sz w:val="18"/>
        </w:rPr>
        <w:t>https://pubmed.ncbi.nlm.nih.gov/42860314/</w:t>
      </w:r>
    </w:p>
    <w:p>
      <w:pPr>
        <w:pStyle w:val="Heading2"/>
      </w:pPr>
      <w:r>
        <w:t>Palliativbetreuung in der ambulanten Nephrologie: Wissen und Kommunikation</w:t>
      </w:r>
    </w:p>
    <w:p>
      <w:r>
        <w:rPr>
          <w:i/>
          <w:color w:val="666666"/>
          <w:sz w:val="18"/>
        </w:rPr>
        <w:t>Joshi M et al.  ·  BMC Nephrol  ·  09.10.2026  ·  PMID 42859148</w:t>
      </w:r>
    </w:p>
    <w:p>
      <w:r>
        <w:t>Qualitative und quantitative Studie zu Integration von Palliativbetreuung in deutschen Nephologie-Ambulanzen mittels Befragung und Interviews von 52 Fachkräften sowie 13 Tiefeninterviews.</w:t>
      </w:r>
    </w:p>
    <w:p>
      <w:r>
        <w:rPr>
          <w:b/>
        </w:rPr>
        <w:t xml:space="preserve">Ergebnis: </w:t>
      </w:r>
      <w:r>
        <w:t>Nur etwa die Hälfte der Fachkräfte äußerte Konfidenz in der Identifikation von Patienten mit Palliativbedarf. Gespräche über Behandlungspräferenzen und Vorausplanung fanden inkonsistent statt; Diskussionen über Sterbeort waren selten. Schulung erhöhte das Bewusstsein, strukturelle Barrieren (Zeitdruck, Behandlungsfokus) behinderten aber die Umsetzung.</w:t>
      </w:r>
    </w:p>
    <w:p>
      <w:r>
        <w:rPr>
          <w:b/>
          <w:sz w:val="19"/>
        </w:rPr>
        <w:t xml:space="preserve">Übertragbarkeit: </w:t>
      </w:r>
      <w:r>
        <w:rPr>
          <w:sz w:val="19"/>
        </w:rPr>
        <w:t>Deutsche Studie, ambulante Nephrologiepraxen und Krankenhausambulanzen</w:t>
      </w:r>
    </w:p>
    <w:p>
      <w:r>
        <w:rPr>
          <w:color w:val="5A7D3A"/>
          <w:sz w:val="18"/>
        </w:rPr>
        <w:t>https://pubmed.ncbi.nlm.nih.gov/42859148/</w:t>
      </w:r>
    </w:p>
    <w:p>
      <w:pPr>
        <w:pStyle w:val="Heading2"/>
      </w:pPr>
      <w:r>
        <w:t>Epidemiologie entzündlicher rheumatischer Erkrankungen in Deutschland</w:t>
      </w:r>
    </w:p>
    <w:p>
      <w:r>
        <w:rPr>
          <w:i/>
          <w:color w:val="666666"/>
          <w:sz w:val="18"/>
        </w:rPr>
        <w:t>Albrecht K et al.  ·  EULAR Rheumatol Open  ·  09.07.2026  ·  PMID 42857317</w:t>
      </w:r>
    </w:p>
    <w:p>
      <w:r>
        <w:t>Systematische Übersicht zur Prävalenz und Inzidenz von 11 entzündlichen rheumatischen Erkrankungen in Deutschland und Europa (2013–aktuell) für Personalbedarfsplanung.</w:t>
      </w:r>
    </w:p>
    <w:p>
      <w:r>
        <w:rPr>
          <w:b/>
        </w:rPr>
        <w:t xml:space="preserve">Ergebnis: </w:t>
      </w:r>
      <w:r>
        <w:t>Geschätzte Prävalenz pro 100.000: rheumatoide Arthritis 1.000, Polymyalgia rheumatica 600 (&gt;50 Jahre), axiale Spondylarthritis 300, psoriasis-Arthritis 300, Riesenzellarteriitis 146 (&gt;50 Jahre), primäres Sjögren 70, systemischer Lupus erythematodes 56, systemische Sklerose 35, idiopathische entzündliche Myopathien 17, ANCA-assoziierte Vaskulitiden 26, Behçet 4,7. Gesamtprävalenz entzündlicher rheumatischer Erkrankungen in Deutschland: 2,6% (1,8 Mio. Erwachsene), jährliche Inzidenz 0,2% (130.000 Erwachsene).</w:t>
      </w:r>
    </w:p>
    <w:p>
      <w:r>
        <w:rPr>
          <w:b/>
          <w:sz w:val="19"/>
        </w:rPr>
        <w:t xml:space="preserve">Übertragbarkeit: </w:t>
      </w:r>
      <w:r>
        <w:rPr>
          <w:sz w:val="19"/>
        </w:rPr>
        <w:t>Deutsche Studie mit deutschen Daten und Schätzungen, direkt anwendbar für Versorgungsplanung</w:t>
      </w:r>
    </w:p>
    <w:p>
      <w:r>
        <w:rPr>
          <w:color w:val="5A7D3A"/>
          <w:sz w:val="18"/>
        </w:rPr>
        <w:t>https://pubmed.ncbi.nlm.nih.gov/42857317/</w:t>
      </w:r>
    </w:p>
    <w:p>
      <w:pPr>
        <w:pStyle w:val="Heading2"/>
      </w:pPr>
      <w:r>
        <w:t>Rolle von Ernährungsfachkräften in Langzeitpflegeeinrichtungen</w:t>
      </w:r>
    </w:p>
    <w:p>
      <w:r>
        <w:rPr>
          <w:i/>
          <w:color w:val="666666"/>
          <w:sz w:val="18"/>
        </w:rPr>
        <w:t>Bartrim K et al.  ·  Health Policy  ·  20.09.2026  ·  PMID 42849156</w:t>
      </w:r>
    </w:p>
    <w:p>
      <w:r>
        <w:t>Dokumentenanalyse der Rolle von Ernährungsfachkräften in Langzeitpflegeangeboten in 68 Ländern basierend auf Regelwerke, Standards und Leitlinien.</w:t>
      </w:r>
    </w:p>
    <w:p>
      <w:r>
        <w:rPr>
          <w:b/>
        </w:rPr>
        <w:t xml:space="preserve">Ergebnis: </w:t>
      </w:r>
      <w:r>
        <w:t>Von 68 Ländern hatten 37 (54%) mindestens ein Dokument zu Ernährungsfachkräften in Langzeitpflege. Japan war einziges Land mit allen vier Dokumenttypen; Australien, Türkiye und Nordirland hatten je drei. 14 Themenbereiche identifiziert, u.a. Ernährungsscreening, Speiseplanung, multiprofessionelle Zusammenarbeit. Große globale Unterschiede in Regelungen und anerkannten Rollen.</w:t>
      </w:r>
    </w:p>
    <w:p>
      <w:r>
        <w:rPr>
          <w:b/>
          <w:sz w:val="19"/>
        </w:rPr>
        <w:t xml:space="preserve">Übertragbarkeit: </w:t>
      </w:r>
      <w:r>
        <w:rPr>
          <w:sz w:val="19"/>
        </w:rPr>
        <w:t>Vergleichende Analyse, auf Deutschland begrenzt übertragbar, aufgrund von Unterschieden in Regulierung und Systemstruktur</w:t>
      </w:r>
    </w:p>
    <w:p>
      <w:r>
        <w:rPr>
          <w:color w:val="5A7D3A"/>
          <w:sz w:val="18"/>
        </w:rPr>
        <w:t>https://pubmed.ncbi.nlm.nih.gov/42849156/</w:t>
      </w:r>
    </w:p>
    <w:p>
      <w:pPr>
        <w:pStyle w:val="Heading2"/>
      </w:pPr>
      <w:r>
        <w:t>Kardio-metabole Ergebnisse eines Wellness-Programms auf dem Land</w:t>
      </w:r>
    </w:p>
    <w:p>
      <w:r>
        <w:rPr>
          <w:i/>
          <w:color w:val="666666"/>
          <w:sz w:val="18"/>
        </w:rPr>
        <w:t>Baus A et al.  ·  J Prim Care Community Health  ·  08.10.2026  ·  PMID 42849056</w:t>
      </w:r>
    </w:p>
    <w:p>
      <w:r>
        <w:t>Retrospektive Evaluation eines krankenhausgestützten Wellness-Programms in West Virginia mit 585 aktiven Teilnehmern zur Kardio-metabolischen Gesundheit.</w:t>
      </w:r>
    </w:p>
    <w:p>
      <w:r>
        <w:rPr>
          <w:b/>
        </w:rPr>
        <w:t xml:space="preserve">Ergebnis: </w:t>
      </w:r>
      <w:r>
        <w:t>Bei gepaarten Analysen: Taillenumfang reduziert um 0,19 Inch (KI −0,34 bis −0,03; p=0,0174), diastolischer Blutdruck um 3,38 mmHg (KI −4,54 bis −2,21; p&lt;0,0001). Bei 56 Diabetespatienten mit HbA1c-Messungen: Reduktion um 0,25 Prozentpunkte (KI −0,44 bis −0,06; p=0,0106), bei initial HbA1c ≥7,0% (n=23) um 0,65 Punkte (KI −1,00 bis −0,29; p=0,0010).</w:t>
      </w:r>
    </w:p>
    <w:p>
      <w:r>
        <w:rPr>
          <w:b/>
          <w:sz w:val="19"/>
        </w:rPr>
        <w:t xml:space="preserve">Übertragbarkeit: </w:t>
      </w:r>
      <w:r>
        <w:rPr>
          <w:sz w:val="19"/>
        </w:rPr>
        <w:t>USA, ländliches Setting, aber Fragestellung zu lokalen Wellness-Modellen systemunabhängig relevant</w:t>
      </w:r>
    </w:p>
    <w:p>
      <w:r>
        <w:rPr>
          <w:color w:val="5A7D3A"/>
          <w:sz w:val="18"/>
        </w:rPr>
        <w:t>https://pubmed.ncbi.nlm.nih.gov/42849056/</w:t>
      </w:r>
    </w:p>
    <w:p>
      <w:pPr>
        <w:pStyle w:val="Heading2"/>
      </w:pPr>
      <w:r>
        <w:t>Einzelitemmessungen zu Nebenwirkungsbelastung bei Krebspatienten</w:t>
      </w:r>
    </w:p>
    <w:p>
      <w:r>
        <w:rPr>
          <w:i/>
          <w:color w:val="666666"/>
          <w:sz w:val="18"/>
        </w:rPr>
        <w:t>Jones T et al.  ·  Eur J Cancer  ·  04.10.2026  ·  PMID 42843209</w:t>
      </w:r>
    </w:p>
    <w:p>
      <w:r>
        <w:t>Systematische Übersichtsarbeit zu Einsatz, psychometrischen Eigenschaften und klinischer Validität von Einzelitemmessungen der wahrgenommenen Nebenwirkungsbelastung in Krebsstudien (67 Publikationen, 74 Studienregistrierungen).</w:t>
      </w:r>
    </w:p>
    <w:p>
      <w:r>
        <w:rPr>
          <w:b/>
        </w:rPr>
        <w:t xml:space="preserve">Ergebnis: </w:t>
      </w:r>
      <w:r>
        <w:t>EORTC Q168 konzentriert auf Pankreas- und Gallenwegskrebs; FACIT GP5 breiter eingesetzt. Für FACIT GP5 lagen 27 Publikationen vor mit Befunden zu Inhalts-, Konstrukt- und Diskriminanzvalidität; für Q168 nur 2 Publikationen. Inhaltliche Limitationen bleiben, besonders beim Attributieren von Symptomen zur Behandlung versus Erkrankung oder andere Faktoren.</w:t>
      </w:r>
    </w:p>
    <w:p>
      <w:r>
        <w:rPr>
          <w:b/>
          <w:sz w:val="19"/>
        </w:rPr>
        <w:t xml:space="preserve">Übertragbarkeit: </w:t>
      </w:r>
      <w:r>
        <w:rPr>
          <w:sz w:val="19"/>
        </w:rPr>
        <w:t>Übersichtsarbeit über klinische Krebsforschung, international übertragbar für Instrumentenanwendung</w:t>
      </w:r>
    </w:p>
    <w:p>
      <w:r>
        <w:rPr>
          <w:color w:val="5A7D3A"/>
          <w:sz w:val="18"/>
        </w:rPr>
        <w:t>https://pubmed.ncbi.nlm.nih.gov/42843209/</w:t>
      </w:r>
    </w:p>
    <w:p>
      <w:pPr>
        <w:pStyle w:val="Heading1"/>
      </w:pPr>
      <w:r>
        <w:t>Aufgenommen am 11.10.2026</w:t>
      </w:r>
    </w:p>
    <w:p>
      <w:pPr>
        <w:pStyle w:val="Heading2"/>
      </w:pPr>
      <w:r>
        <w:t>Transitional Care-Erfahrungen ruraler Patientinnen: Qualitativ</w:t>
      </w:r>
    </w:p>
    <w:p>
      <w:r>
        <w:rPr>
          <w:i/>
          <w:color w:val="666666"/>
          <w:sz w:val="18"/>
        </w:rPr>
        <w:t>Randolph SB et al.  ·  J Rural Health  ·  Sept. 2026  ·  PMID 42855931</w:t>
      </w:r>
    </w:p>
    <w:p>
      <w:r>
        <w:t>Qualitative Analyse von Krankenakten von 200 Veteranen (100 rural, 100 urban), die innerhalb 30 Tagen nach Krankenhausentlassung starben.</w:t>
      </w:r>
    </w:p>
    <w:p>
      <w:r>
        <w:rPr>
          <w:b/>
        </w:rPr>
        <w:t xml:space="preserve">Ergebnis: </w:t>
      </w:r>
      <w:r>
        <w:t>Drei zentrale Themen für rurale Patienten: geografische Entfernungen (längere Fahrtzeiten), Ablehnung von Homecare-Services und hohe Belastung der Betreuer. Diese Faktoren führten zu Diskordanz und Unsicherheit zwischen Patient, Team und Angehörigen.</w:t>
      </w:r>
    </w:p>
    <w:p>
      <w:r>
        <w:rPr>
          <w:b/>
          <w:sz w:val="19"/>
        </w:rPr>
        <w:t xml:space="preserve">Übertragbarkeit: </w:t>
      </w:r>
      <w:r>
        <w:rPr>
          <w:sz w:val="19"/>
        </w:rPr>
        <w:t>USA-Veteranensystem; Erkenntnisse zu Übergangsversorgung aber systemübergreifend relevant</w:t>
      </w:r>
    </w:p>
    <w:p>
      <w:r>
        <w:rPr>
          <w:color w:val="5A7D3A"/>
          <w:sz w:val="18"/>
        </w:rPr>
        <w:t>https://pubmed.ncbi.nlm.nih.gov/42855931/</w:t>
      </w:r>
    </w:p>
    <w:p>
      <w:pPr>
        <w:pStyle w:val="Heading2"/>
      </w:pPr>
      <w:r>
        <w:t>Employment instability und katastrophale Gesundheitsausgaben in Südkorea</w:t>
      </w:r>
    </w:p>
    <w:p>
      <w:r>
        <w:rPr>
          <w:i/>
          <w:color w:val="666666"/>
          <w:sz w:val="18"/>
        </w:rPr>
        <w:t>Yang JM et al.  ·  BMC Health Serv Res  ·  19.08.2026  ·  PMID 42855683</w:t>
      </w:r>
    </w:p>
    <w:p>
      <w:r>
        <w:t>Längsschnittstudie zur Assoziation zwischen Beschäftigungsstabilität und katastrophalen Gesundheitsausgaben bei koreanischen Erwachsenen ab 50 Jahren.</w:t>
      </w:r>
    </w:p>
    <w:p>
      <w:r>
        <w:rPr>
          <w:b/>
        </w:rPr>
        <w:t xml:space="preserve">Ergebnis: </w:t>
      </w:r>
      <w:r>
        <w:t>Persistierende Arbeitslosigkeit erhöhte die Odds für katastrophale Ausgaben um das 1,26-1,34-Fache (p&lt;0,05). Berufliche Übergänge in Arbeitslosigkeit zeigten ähnliche Effekte. Effekt nur in der Altersgruppe ≥50 Jahre signifikant.</w:t>
      </w:r>
    </w:p>
    <w:p>
      <w:r>
        <w:rPr>
          <w:b/>
          <w:sz w:val="19"/>
        </w:rPr>
        <w:t xml:space="preserve">Übertragbarkeit: </w:t>
      </w:r>
      <w:r>
        <w:rPr>
          <w:sz w:val="19"/>
        </w:rPr>
        <w:t>Südkorea, gesetzliche Krankenversicherung, direkter Vergleich möglich</w:t>
      </w:r>
    </w:p>
    <w:p>
      <w:r>
        <w:rPr>
          <w:color w:val="5A7D3A"/>
          <w:sz w:val="18"/>
        </w:rPr>
        <w:t>https://pubmed.ncbi.nlm.nih.gov/42855683/</w:t>
      </w:r>
    </w:p>
    <w:p>
      <w:pPr>
        <w:pStyle w:val="Heading2"/>
      </w:pPr>
      <w:r>
        <w:t>Klimabewusstsein und Öko-Angst bei Gesundheitspersonal</w:t>
      </w:r>
    </w:p>
    <w:p>
      <w:r>
        <w:rPr>
          <w:i/>
          <w:color w:val="666666"/>
          <w:sz w:val="18"/>
        </w:rPr>
        <w:t>Özdemir T et al.  ·  BMC Health Serv Res  ·  01.10.2026  ·  PMID 42850626</w:t>
      </w:r>
    </w:p>
    <w:p>
      <w:r>
        <w:t>Querschnittsstudie bei 460 Fachkräften im Gesundheitswesen zu Zusammenhängen zwischen Klimabewusstsein, Öko-Angst und Umweltsensibilität.</w:t>
      </w:r>
    </w:p>
    <w:p>
      <w:r>
        <w:rPr>
          <w:b/>
        </w:rPr>
        <w:t xml:space="preserve">Ergebnis: </w:t>
      </w:r>
      <w:r>
        <w:t>Moderate Ausprägung bei Klimabewusstsein und Umweltsensibilität; moderate Öko-Angst. Klimabewusstsein, Pflegefachkräfte-Status, Alter ≥45 Jahre und Mitgliedschaft in Umweltorganisationen waren signifikante Prädiktoren (p&lt;0,05). Ruminations-Subdimension marginal nicht-signifikant (p=0,064).</w:t>
      </w:r>
    </w:p>
    <w:p>
      <w:r>
        <w:rPr>
          <w:b/>
          <w:sz w:val="19"/>
        </w:rPr>
        <w:t xml:space="preserve">Übertragbarkeit: </w:t>
      </w:r>
      <w:r>
        <w:rPr>
          <w:sz w:val="19"/>
        </w:rPr>
        <w:t>Türkei, Gesundheitssystem mit Versorger-fokussiertem Ansatz, Health Services Research</w:t>
      </w:r>
    </w:p>
    <w:p>
      <w:r>
        <w:rPr>
          <w:color w:val="5A7D3A"/>
          <w:sz w:val="18"/>
        </w:rPr>
        <w:t>https://pubmed.ncbi.nlm.nih.gov/42850626/</w:t>
      </w:r>
    </w:p>
    <w:p>
      <w:pPr>
        <w:pStyle w:val="Heading2"/>
      </w:pPr>
      <w:r>
        <w:t>Wearable-Sensoren zur Bewegungskontrolle in geriatrischer Rehabilitation</w:t>
      </w:r>
    </w:p>
    <w:p>
      <w:r>
        <w:rPr>
          <w:i/>
          <w:color w:val="666666"/>
          <w:sz w:val="18"/>
        </w:rPr>
        <w:t>Debeij SM et al.  ·  Eur Geriatr Med  ·  06.10.2026  ·  PMID 42839204</w:t>
      </w:r>
    </w:p>
    <w:p>
      <w:r>
        <w:t>Mixed-Methods-Studie zur Nutzerfreundlichkeit und Machbarkeit eines Sensorsystems mit Rückmeldung zur Sedentarität bei geriatrischen Patienten (stationär und ambulant).</w:t>
      </w:r>
    </w:p>
    <w:p>
      <w:r>
        <w:rPr>
          <w:b/>
        </w:rPr>
        <w:t xml:space="preserve">Ergebnis: </w:t>
      </w:r>
      <w:r>
        <w:t>Machbarkeit ausreichend (hohe Adhärenz), Nutzerfreundlichkeit begrenzt. Technische Probleme (Messergenauigkeit) und Implementierungshürden (fehlende Individualisierung, unklarer Mehrwert). Teilnehmer: 26 Patienten, 9 Fachkräfte; 22 Interviews durchgeführt.</w:t>
      </w:r>
    </w:p>
    <w:p>
      <w:r>
        <w:rPr>
          <w:b/>
          <w:sz w:val="19"/>
        </w:rPr>
        <w:t xml:space="preserve">Übertragbarkeit: </w:t>
      </w:r>
      <w:r>
        <w:rPr>
          <w:sz w:val="19"/>
        </w:rPr>
        <w:t>Niederlande, Sozialversicherung, gute Übertragbarkeit auf deutsches Gesundheitswesen</w:t>
      </w:r>
    </w:p>
    <w:p>
      <w:r>
        <w:rPr>
          <w:color w:val="5A7D3A"/>
          <w:sz w:val="18"/>
        </w:rPr>
        <w:t>https://pubmed.ncbi.nlm.nih.gov/42839204/</w:t>
      </w:r>
    </w:p>
    <w:p>
      <w:pPr>
        <w:pStyle w:val="Heading2"/>
      </w:pPr>
      <w:r>
        <w:t>Rotavirus-Impfung in Vietnam: Effektivität und Kosteneffektivität</w:t>
      </w:r>
    </w:p>
    <w:p>
      <w:r>
        <w:rPr>
          <w:i/>
          <w:color w:val="666666"/>
          <w:sz w:val="18"/>
        </w:rPr>
        <w:t>Dang HTT et al.  ·  Vaccine  ·  06.10.2026  ·  PMID 42837896</w:t>
      </w:r>
    </w:p>
    <w:p>
      <w:r>
        <w:t>Modellierungsstudie zur Auswirkung und Kosteneffektivität der Rotavirus-Impfung (ROTAVIN) bei Kindern unter fünf Jahren in Vietnam.</w:t>
      </w:r>
    </w:p>
    <w:p>
      <w:r>
        <w:rPr>
          <w:b/>
        </w:rPr>
        <w:t xml:space="preserve">Ergebnis: </w:t>
      </w:r>
      <w:r>
        <w:t>Über 10 Jahre würde Impfung 97.776 Hospitalisierungen (KI 72.722–342.311) und 433 Todesfälle (KI 330–1300) verhindern. Kosten von 39,5 Mio. USD für zehn Kohorten. ICER von 982 USD pro vermiedenem DALY (Staatsperspektive); kostensparen aus Gesellschaftsperspektive mit 99% Wahrscheinlichkeit.</w:t>
      </w:r>
    </w:p>
    <w:p>
      <w:r>
        <w:rPr>
          <w:b/>
          <w:sz w:val="19"/>
        </w:rPr>
        <w:t xml:space="preserve">Übertragbarkeit: </w:t>
      </w:r>
      <w:r>
        <w:rPr>
          <w:sz w:val="19"/>
        </w:rPr>
        <w:t>Vietnams Gesundheitssystem, Sozialversicherung, hohe Übertragbarkeit auf ähnliche Kontexte</w:t>
      </w:r>
    </w:p>
    <w:p>
      <w:r>
        <w:rPr>
          <w:color w:val="5A7D3A"/>
          <w:sz w:val="18"/>
        </w:rPr>
        <w:t>https://pubmed.ncbi.nlm.nih.gov/42837896/</w:t>
      </w:r>
    </w:p>
    <w:p>
      <w:pPr>
        <w:pStyle w:val="Heading1"/>
      </w:pPr>
      <w:r>
        <w:t>Aufgenommen am 10.10.2026</w:t>
      </w:r>
    </w:p>
    <w:p>
      <w:pPr>
        <w:pStyle w:val="Heading2"/>
      </w:pPr>
      <w:r>
        <w:t>Transition in rheumatology: Versorgungslücken beim Übergang ins Erwachsenenalter</w:t>
      </w:r>
    </w:p>
    <w:p>
      <w:r>
        <w:rPr>
          <w:i/>
          <w:color w:val="666666"/>
          <w:sz w:val="18"/>
        </w:rPr>
        <w:t>Milatz F et al.  ·  Z Rheumatol  ·  09.10.2026  ·  PMID 42853413</w:t>
      </w:r>
    </w:p>
    <w:p>
      <w:r>
        <w:t>Querschnittsbefragung von 269 jungen Erwachsenen mit juveniler idiopathischer Arthritis zur Versorgungskontinuität beim Übergang von der Kinder- in die internistische Rheumatologie.</w:t>
      </w:r>
    </w:p>
    <w:p>
      <w:r>
        <w:rPr>
          <w:b/>
        </w:rPr>
        <w:t xml:space="preserve">Ergebnis: </w:t>
      </w:r>
      <w:r>
        <w:t>45% der jungen Erwachsenen erhielten fachspezifische rheumatologische Betreuung; Transitionskompetenz bei Versorgten höher (22,7 vs. 19,0; p&lt;0,001); 35% erhielten keinen zusammenfassenden Arztbericht; durchschnittlich 9,9 Monate zwischen letzter Kinder- und erster Erwachsenenvorstellung; Nicht-Versorgte erhielten seltener Basistherapie (18% vs. 63%); ~20% berichteten relevante depressive Symptome.</w:t>
      </w:r>
    </w:p>
    <w:p>
      <w:r>
        <w:rPr>
          <w:b/>
          <w:sz w:val="19"/>
        </w:rPr>
        <w:t xml:space="preserve">Übertragbarkeit: </w:t>
      </w:r>
      <w:r>
        <w:rPr>
          <w:sz w:val="19"/>
        </w:rPr>
        <w:t>Deutsche Routinedaten, gesetzlich Versicherte (Barmer)</w:t>
      </w:r>
    </w:p>
    <w:p>
      <w:r>
        <w:rPr>
          <w:color w:val="5A7D3A"/>
          <w:sz w:val="18"/>
        </w:rPr>
        <w:t>https://pubmed.ncbi.nlm.nih.gov/42853413/</w:t>
      </w:r>
    </w:p>
    <w:p>
      <w:pPr>
        <w:pStyle w:val="Heading2"/>
      </w:pPr>
      <w:r>
        <w:t>Finanzielle Anreize erhöhen Screening-Quote bei Darmkrebs</w:t>
      </w:r>
    </w:p>
    <w:p>
      <w:r>
        <w:rPr>
          <w:i/>
          <w:color w:val="666666"/>
          <w:sz w:val="18"/>
        </w:rPr>
        <w:t>Perry LM et al.  ·  Health Serv Res  ·  22.07.2025  ·  PMID 42853034</w:t>
      </w:r>
    </w:p>
    <w:p>
      <w:r>
        <w:t>Pilotversuch zur Effektivität von finanziellen Anreizen für Darmkrebsvorsorge-Screening in ländlicher US-Primärversorgung.</w:t>
      </w:r>
    </w:p>
    <w:p>
      <w:r>
        <w:rPr>
          <w:b/>
        </w:rPr>
        <w:t xml:space="preserve">Ergebnis: </w:t>
      </w:r>
      <w:r>
        <w:t>68% der Interventionsgruppe vs. 32% der Kontrollgruppe absolvierten CRC-Screening (p=0,02); 57% der interessierten Personen waren berechtigt; 94% der Berechtigten nahmen teil; durchschnittliche Teilnehmerin 52,4 Jahre alt, 70% weiblich, 42% schwarz, 24% unversichert.</w:t>
      </w:r>
    </w:p>
    <w:p>
      <w:r>
        <w:rPr>
          <w:b/>
          <w:sz w:val="19"/>
        </w:rPr>
        <w:t xml:space="preserve">Übertragbarkeit: </w:t>
      </w:r>
      <w:r>
        <w:rPr>
          <w:sz w:val="19"/>
        </w:rPr>
        <w:t>Nur bedingt: US-fragmentiertes Versicherungssystem, anderer Zugangskontext</w:t>
      </w:r>
    </w:p>
    <w:p>
      <w:r>
        <w:rPr>
          <w:color w:val="5A7D3A"/>
          <w:sz w:val="18"/>
        </w:rPr>
        <w:t>https://pubmed.ncbi.nlm.nih.gov/42853034/</w:t>
      </w:r>
    </w:p>
    <w:p>
      <w:pPr>
        <w:pStyle w:val="Heading2"/>
      </w:pPr>
      <w:r>
        <w:t>Wespenart beeinflusst Erfolg von Wespengiftimmuntherapie-Provokationen</w:t>
      </w:r>
    </w:p>
    <w:p>
      <w:r>
        <w:rPr>
          <w:i/>
          <w:color w:val="666666"/>
          <w:sz w:val="18"/>
        </w:rPr>
        <w:t>Oppel E et al.  ·  Allergol Select  ·  25.09.2026  ·  PMID 42852156</w:t>
      </w:r>
    </w:p>
    <w:p>
      <w:r>
        <w:t>Retrospektive Analyse von 1.163 Patienten unter Wespengiftimmuntherapie hinsichtlich Einflussfaktoren auf Toleranz gegenüber künstlichen Stichproben.</w:t>
      </w:r>
    </w:p>
    <w:p>
      <w:r>
        <w:rPr>
          <w:b/>
        </w:rPr>
        <w:t xml:space="preserve">Ergebnis: </w:t>
      </w:r>
      <w:r>
        <w:t>Stichproben wurden von 1.141 Patienten (98,1%) toleriert; Vespula-Arten zeigten signifikant höhere Toleranzrate als Dolichovespula-Arten (OR 7,69, 95% CI 2,66–20,43); Hauttest-Konversion (positiv→negativ bei 10 µg/mL) zeigte Trend zu verbesserter Toleranz (OR 2,26, 95% CI 0,68–11,53); in 53,2±38,5 Monaten Follow-up: 6 Systemreaktionen nach Feldstichen, keine aus Dolichovespula-Gruppe.</w:t>
      </w:r>
    </w:p>
    <w:p>
      <w:r>
        <w:rPr>
          <w:b/>
          <w:sz w:val="19"/>
        </w:rPr>
        <w:t xml:space="preserve">Übertragbarkeit: </w:t>
      </w:r>
      <w:r>
        <w:rPr>
          <w:sz w:val="19"/>
        </w:rPr>
        <w:t>Deutschland, vergleichbare allergologische Standardversorgung</w:t>
      </w:r>
    </w:p>
    <w:p>
      <w:r>
        <w:rPr>
          <w:color w:val="5A7D3A"/>
          <w:sz w:val="18"/>
        </w:rPr>
        <w:t>https://pubmed.ncbi.nlm.nih.gov/42852156/</w:t>
      </w:r>
    </w:p>
    <w:p>
      <w:pPr>
        <w:pStyle w:val="Heading2"/>
      </w:pPr>
      <w:r>
        <w:t>Patientenbeteiligung bei Leitlinienentwicklung: Erfahrungen in Deutschland</w:t>
      </w:r>
    </w:p>
    <w:p>
      <w:r>
        <w:rPr>
          <w:i/>
          <w:color w:val="666666"/>
          <w:sz w:val="18"/>
        </w:rPr>
        <w:t>Orduhan C et al.  ·  Clin Public Health Guidel  ·  10.08.2026  ·  PMID 42808020</w:t>
      </w:r>
    </w:p>
    <w:p>
      <w:r>
        <w:t>Qualitative Interviewstudie mit 23 Patientenvertretern, die an deutscher Leitlinienentwicklung partizipierten, zu Erfahrungen und Herausforderungen.</w:t>
      </w:r>
    </w:p>
    <w:p>
      <w:r>
        <w:rPr>
          <w:b/>
        </w:rPr>
        <w:t xml:space="preserve">Ergebnis: </w:t>
      </w:r>
      <w:r>
        <w:t>Aktive Mitgliedschaft in Leitliniengruppen war dominante Beteiligungsstrategie; positive Einflussfaktoren: Vorbereitungstraining, andere Patientenvertreter, Wertschätzung (häufig benannt); Herausforderungen: Rekrutierung, Mangel an Inklusion und Diversität; Mehrheit war mit Beteiligungsform zufrieden, identifizierte aber ungedeckte Bedarfe; Vorbereitungsaktivitäten als essentiell für effektive Partizipation.</w:t>
      </w:r>
    </w:p>
    <w:p>
      <w:r>
        <w:rPr>
          <w:b/>
          <w:sz w:val="19"/>
        </w:rPr>
        <w:t xml:space="preserve">Übertragbarkeit: </w:t>
      </w:r>
      <w:r>
        <w:rPr>
          <w:sz w:val="19"/>
        </w:rPr>
        <w:t>Deutsche Kontextdaten zur Leitlinienmitgestaltung</w:t>
      </w:r>
    </w:p>
    <w:p>
      <w:r>
        <w:rPr>
          <w:color w:val="5A7D3A"/>
          <w:sz w:val="18"/>
        </w:rPr>
        <w:t>https://pubmed.ncbi.nlm.nih.gov/42808020/</w:t>
      </w:r>
    </w:p>
    <w:p>
      <w:pPr>
        <w:pStyle w:val="Heading2"/>
      </w:pPr>
      <w:r>
        <w:t>Geschlechtsspezifische Unterschiede in Selbsteinschätzung dermatologischer Kompetenzen</w:t>
      </w:r>
    </w:p>
    <w:p>
      <w:r>
        <w:rPr>
          <w:i/>
          <w:color w:val="666666"/>
          <w:sz w:val="18"/>
        </w:rPr>
        <w:t>Heinen I et al.  ·  GMS J Med Educ  ·  15.09.2026  ·  PMID 42807627</w:t>
      </w:r>
    </w:p>
    <w:p>
      <w:r>
        <w:t>Quasi-experimentelle Prä-Post-Befragung von 142 Medizinstudierenden zur Selbsteinschätzung dermatologischer Kenntnisse vor und nach Seminar zu Hauterkrankungen bei Skin of Color.</w:t>
      </w:r>
    </w:p>
    <w:p>
      <w:r>
        <w:rPr>
          <w:b/>
        </w:rPr>
        <w:t xml:space="preserve">Ergebnis: </w:t>
      </w:r>
      <w:r>
        <w:t>Studentinnen schätzten anfangs Kenntnisse zu anatomischen/physiologischen Unterschieden (p&lt;0,001, η²=0,078) und Hauttyp-Skalen (p&lt;0,001, η²=0,085) sowie diagnostische Fähigkeiten signifikant schlechter ein als Studenten (p&lt;0,001, η²=0,075), obwohl objektive MC-Testergebnisse nicht differierten (p=0,905); nach Seminar keine geschlechtsspezifischen Unterschiede mehr vorhanden.</w:t>
      </w:r>
    </w:p>
    <w:p>
      <w:r>
        <w:rPr>
          <w:b/>
          <w:sz w:val="19"/>
        </w:rPr>
        <w:t xml:space="preserve">Übertragbarkeit: </w:t>
      </w:r>
      <w:r>
        <w:rPr>
          <w:sz w:val="19"/>
        </w:rPr>
        <w:t>Deutschland, medizinische Hochschulausbildung vergleichbar</w:t>
      </w:r>
    </w:p>
    <w:p>
      <w:r>
        <w:rPr>
          <w:color w:val="5A7D3A"/>
          <w:sz w:val="18"/>
        </w:rPr>
        <w:t>https://pubmed.ncbi.nlm.nih.gov/42807627/</w:t>
      </w:r>
    </w:p>
    <w:p>
      <w:pPr>
        <w:pStyle w:val="Heading1"/>
      </w:pPr>
      <w:r>
        <w:t>Aufgenommen am 09.10.2026</w:t>
      </w:r>
    </w:p>
    <w:p>
      <w:pPr>
        <w:pStyle w:val="Heading2"/>
      </w:pPr>
      <w:r>
        <w:t>Telemedicine-Nutzung in Japan 2020–2024: Persistierende Ungleichheiten</w:t>
      </w:r>
    </w:p>
    <w:p>
      <w:r>
        <w:rPr>
          <w:i/>
          <w:color w:val="666666"/>
          <w:sz w:val="18"/>
        </w:rPr>
        <w:t>Ito H et al.  ·  J Med Internet Res  ·  08.10.2026  ·  PMID 42849039</w:t>
      </w:r>
    </w:p>
    <w:p>
      <w:r>
        <w:t>Longitudinale Panelstudie zur Entwicklung von Chancenungleichheiten bei der Telemedizin-Adoption in Japan über vier Jahre mit 10.818 Teilnehmern.</w:t>
      </w:r>
    </w:p>
    <w:p>
      <w:r>
        <w:rPr>
          <w:b/>
        </w:rPr>
        <w:t xml:space="preserve">Ergebnis: </w:t>
      </w:r>
      <w:r>
        <w:t>Telemedizin-Adoption stieg von 2,6% (2020) auf 7,0% (2024). Altersbedingte Ungleichheiten verschärften sich: Bei 70–75-Jährigen +1,0 Prozentpunkte vs. 18–29-Jährigen +13,1 Prozentpunkte (DID –12,1 PP, 95% KI –18,2 bis –5,9). Arbeitslose zeigten kleinere Zunahmen (+2,8 vs. +5,7 PP bei höheren Angestellten; DID –2,9 PP).</w:t>
      </w:r>
    </w:p>
    <w:p>
      <w:r>
        <w:rPr>
          <w:b/>
          <w:sz w:val="19"/>
        </w:rPr>
        <w:t xml:space="preserve">Übertragbarkeit: </w:t>
      </w:r>
      <w:r>
        <w:rPr>
          <w:sz w:val="19"/>
        </w:rPr>
        <w:t>Japan, nationale Kohorte mit berichteten Adoptionsdaten, digitale Gerechtigkeit systemübergreifend relevant</w:t>
      </w:r>
    </w:p>
    <w:p>
      <w:r>
        <w:rPr>
          <w:color w:val="5A7D3A"/>
          <w:sz w:val="18"/>
        </w:rPr>
        <w:t>https://pubmed.ncbi.nlm.nih.gov/42849039/</w:t>
      </w:r>
    </w:p>
    <w:p>
      <w:pPr>
        <w:pStyle w:val="Heading2"/>
      </w:pPr>
      <w:r>
        <w:t>Retinoid-Umstellung in vier europäischen Ländern nach Schwangerschaftsprävention 2018</w:t>
      </w:r>
    </w:p>
    <w:p>
      <w:r>
        <w:rPr>
          <w:i/>
          <w:color w:val="666666"/>
          <w:sz w:val="18"/>
        </w:rPr>
        <w:t>Riera-Arnau J et al.  ·  Drug Saf  ·  08.10.2026  ·  PMID 42848129</w:t>
      </w:r>
    </w:p>
    <w:p>
      <w:r>
        <w:t>Unterbrochene Zeitreihenanalyse zum Effekt der EU-Schwangerschaftspräventionsprogramm-Aktualisierung 2018 auf Wechsel von oralen Retinoiden zu Alternativmedikamenten bei Frauen im gebärfähigen Alter in vier europäischen Ländern mit 88.992 Frauen.</w:t>
      </w:r>
    </w:p>
    <w:p>
      <w:r>
        <w:rPr>
          <w:b/>
        </w:rPr>
        <w:t xml:space="preserve">Ergebnis: </w:t>
      </w:r>
      <w:r>
        <w:t>32,0% (28.446/88.992) wechselten zu Alternativmedikamenten über den Studienzeitraum. Mediane Wechselraten: 1,8–6,5% monatlich präimplementiert, 1,2–2,3% postimplementiert. Kleine aber statistisch signifikante Abnahme der Wechselrate nach Intervention in Italien (–0,035%, p&lt;0,01), Spanien VID (–0,04%, p&lt;0,01) und BIFAP (–0,03%, p=0,02); Effekte verschwanden bei Ausschluss COVID-19-Lockdown-Periode.</w:t>
      </w:r>
    </w:p>
    <w:p>
      <w:r>
        <w:rPr>
          <w:b/>
          <w:sz w:val="19"/>
        </w:rPr>
        <w:t xml:space="preserve">Übertragbarkeit: </w:t>
      </w:r>
      <w:r>
        <w:rPr>
          <w:sz w:val="19"/>
        </w:rPr>
        <w:t>Niederlande, Spanien, Italien, Dänemark – europäische Sozialversicherungssysteme, Pharmacoepidemiology-Daten</w:t>
      </w:r>
    </w:p>
    <w:p>
      <w:r>
        <w:rPr>
          <w:color w:val="5A7D3A"/>
          <w:sz w:val="18"/>
        </w:rPr>
        <w:t>https://pubmed.ncbi.nlm.nih.gov/42848129/</w:t>
      </w:r>
    </w:p>
    <w:p>
      <w:pPr>
        <w:pStyle w:val="Heading2"/>
      </w:pPr>
      <w:r>
        <w:t>Prähabilitationsakzeptanz bei Hüft- und Kniegelenkersatz: Qualitative Stakeholder-Perspektiven</w:t>
      </w:r>
    </w:p>
    <w:p>
      <w:r>
        <w:rPr>
          <w:i/>
          <w:color w:val="666666"/>
          <w:sz w:val="18"/>
        </w:rPr>
        <w:t>Burgess N et al.  ·  Musculoskeletal Care  ·  Dez. 2026  ·  PMID 42847740</w:t>
      </w:r>
    </w:p>
    <w:p>
      <w:r>
        <w:t>Qualitative Studie mit 30 Interviews (15 Patienten, 15 Fachpersonen) zu Akzeptanz, Barrieren und Lösungen bei Prähabilitationsprogrammen vor Hüft- und Kniegelenksersatz in Australien.</w:t>
      </w:r>
    </w:p>
    <w:p>
      <w:r>
        <w:rPr>
          <w:b/>
        </w:rPr>
        <w:t xml:space="preserve">Ergebnis: </w:t>
      </w:r>
      <w:r>
        <w:t>Prähabilitationsmaßnahme wurde allgemein als akzeptabel und vorteilhaft bewertet. Drei Hauptkonzepte: (1) Verständnis variierte, aber positive Bewertung überwiegend; (2) Barrieren/Förderfaktoren auf Patienten-, Fachpersonen- und Systemebene identifiziert (lange Wartelisten, mangelndes Vertrauen, Gesprächssicherheit); (3) Beide Gruppen betonten individuelle Anpassung, multimodale Intervention und kontinuierliche Unterstützung im OP-Verlauf als erfolgskritisch.</w:t>
      </w:r>
    </w:p>
    <w:p>
      <w:r>
        <w:rPr>
          <w:b/>
          <w:sz w:val="19"/>
        </w:rPr>
        <w:t xml:space="preserve">Übertragbarkeit: </w:t>
      </w:r>
      <w:r>
        <w:rPr>
          <w:sz w:val="19"/>
        </w:rPr>
        <w:t>Australien, öffentliches Versorgungssystem – Prozessqualität und Patientenperspektive gut übertragbar</w:t>
      </w:r>
    </w:p>
    <w:p>
      <w:r>
        <w:rPr>
          <w:color w:val="5A7D3A"/>
          <w:sz w:val="18"/>
        </w:rPr>
        <w:t>https://pubmed.ncbi.nlm.nih.gov/42847740/</w:t>
      </w:r>
    </w:p>
    <w:p>
      <w:pPr>
        <w:pStyle w:val="Heading2"/>
      </w:pPr>
      <w:r>
        <w:t>ADHS-Medikation in Norwegen: Anhaltende Anstiege nach COVID-19</w:t>
      </w:r>
    </w:p>
    <w:p>
      <w:r>
        <w:rPr>
          <w:i/>
          <w:color w:val="666666"/>
          <w:sz w:val="18"/>
        </w:rPr>
        <w:t>Reme BA et al.  ·  Scand J Public Health  ·  08.10.2026  ·  PMID 42847285</w:t>
      </w:r>
    </w:p>
    <w:p>
      <w:r>
        <w:t>Register-basierte Zeitreihenanalyse der ADHS-Arzneimittelverordnungen in Norwegen 2009–2024 mit 63,7 Millionen Personenjahren.</w:t>
      </w:r>
    </w:p>
    <w:p>
      <w:r>
        <w:rPr>
          <w:b/>
        </w:rPr>
        <w:t xml:space="preserve">Ergebnis: </w:t>
      </w:r>
      <w:r>
        <w:t>ADHS-Medikation vor 2020 stabil, danach deutlicher Anstieg. Größte Anstiege bei weiblichen Adoleszenten (15–24 Jahre): +19 Prozentpunkte (von 5,2% auf 24,4% jährlich). Männliche Jugendliche (15–24 Jahre): +9,0 Prozentpunkte (von 2,7% auf 11,7%). Der Anstieg blieb auch nach 2020 dauerhaft.</w:t>
      </w:r>
    </w:p>
    <w:p>
      <w:r>
        <w:rPr>
          <w:b/>
          <w:sz w:val="19"/>
        </w:rPr>
        <w:t xml:space="preserve">Übertragbarkeit: </w:t>
      </w:r>
      <w:r>
        <w:rPr>
          <w:sz w:val="19"/>
        </w:rPr>
        <w:t>Norwegen, nationale Verordnungsdatenbank, Fragestellung zur Versorgungspraxis systemübergreifend</w:t>
      </w:r>
    </w:p>
    <w:p>
      <w:r>
        <w:rPr>
          <w:color w:val="5A7D3A"/>
          <w:sz w:val="18"/>
        </w:rPr>
        <w:t>https://pubmed.ncbi.nlm.nih.gov/42847285/</w:t>
      </w:r>
    </w:p>
    <w:p>
      <w:pPr>
        <w:pStyle w:val="Heading2"/>
      </w:pPr>
      <w:r>
        <w:t>Agent-basiertes Modell der Demenzbetreuung in der Gemeinde: Validierte Baseline-Szenarien</w:t>
      </w:r>
    </w:p>
    <w:p>
      <w:r>
        <w:rPr>
          <w:i/>
          <w:color w:val="666666"/>
          <w:sz w:val="18"/>
        </w:rPr>
        <w:t>Zhu C et al.  ·  Front Public Health  ·  23.09.2026  ·  PMID 42846501</w:t>
      </w:r>
    </w:p>
    <w:p>
      <w:r>
        <w:t>Entwicklung und Validierung eines regelgestützten agentengestützten Modells (ABM) zur Simulation der Langzeitdynamiken in der gemeindlichen Demenzbetreuung mit evidenzgestützten Parametern.</w:t>
      </w:r>
    </w:p>
    <w:p>
      <w:r>
        <w:rPr>
          <w:b/>
        </w:rPr>
        <w:t xml:space="preserve">Ergebnis: </w:t>
      </w:r>
      <w:r>
        <w:t>BPSD-Prävalenz stieg von 75,6% (Start) auf 96,4% (Monat 60; Monte-Carlo 95% KI 96,3–96,5%). Durchschnittliche Betreuungslast erhöhte sich von 0,505 auf 0,782. Im Monat 60 befanden sich durchschnittlich 161 Betreuungseinheiten in institutioneller Betreuung. Lokale Sensitivitätsanalysen zeigten begrenzte Variabilität in Primäroutcomes über getestete Bereiche.</w:t>
      </w:r>
    </w:p>
    <w:p>
      <w:r>
        <w:rPr>
          <w:b/>
          <w:sz w:val="19"/>
        </w:rPr>
        <w:t xml:space="preserve">Übertragbarkeit: </w:t>
      </w:r>
      <w:r>
        <w:rPr>
          <w:sz w:val="19"/>
        </w:rPr>
        <w:t>China, strukturiertes Health Services Research-Modell für spezialisierte Versorgungsforschung</w:t>
      </w:r>
    </w:p>
    <w:p>
      <w:r>
        <w:rPr>
          <w:color w:val="5A7D3A"/>
          <w:sz w:val="18"/>
        </w:rPr>
        <w:t>https://pubmed.ncbi.nlm.nih.gov/42846501/</w:t>
      </w:r>
    </w:p>
    <w:p>
      <w:pPr>
        <w:pStyle w:val="Heading2"/>
      </w:pPr>
      <w:r>
        <w:t>Psychosoziales Wohlbefinden bei Long COVID: Patientenzentrierte Interventionsstrategien</w:t>
      </w:r>
    </w:p>
    <w:p>
      <w:r>
        <w:rPr>
          <w:i/>
          <w:color w:val="666666"/>
          <w:sz w:val="18"/>
        </w:rPr>
        <w:t>Martinez BD et al.  ·  Front Psychiatry  ·  23.09.2026  ·  PMID 42846347</w:t>
      </w:r>
    </w:p>
    <w:p>
      <w:r>
        <w:t>Qualitative Studie mit 19 semi-strukturierten Interviews und Community Advisory Team-Fokusgruppen zu Faktoren und patientengenerierten Strategien für psychosoziales Wohlbefinden bei Long COVID.</w:t>
      </w:r>
    </w:p>
    <w:p>
      <w:r>
        <w:rPr>
          <w:b/>
        </w:rPr>
        <w:t xml:space="preserve">Ergebnis: </w:t>
      </w:r>
      <w:r>
        <w:t>Drei Primärfaktoren beeinflussen negativ psychosoziales Wohlbefinden: Identitätsstörung (Verlust von Fähigkeiten, Selbstständigkeit), Isolation (reduzierte soziale Partizipation, Stigmatisierung), Unsicherheit (Krankheits-/Behandlungspfade, Invaliditätssysteme). Patienten identifizierten: Case-Management, strukturierte Peersupport, Public-Awareness-Kampagnen und persönliche Adaptationspraktiken als förderlich.</w:t>
      </w:r>
    </w:p>
    <w:p>
      <w:r>
        <w:rPr>
          <w:b/>
          <w:sz w:val="19"/>
        </w:rPr>
        <w:t xml:space="preserve">Übertragbarkeit: </w:t>
      </w:r>
      <w:r>
        <w:rPr>
          <w:sz w:val="19"/>
        </w:rPr>
        <w:t>USA, systemunabhängig – psychosoziale Versorgungsfragen krankheitsübergreifend relevant</w:t>
      </w:r>
    </w:p>
    <w:p>
      <w:r>
        <w:rPr>
          <w:color w:val="5A7D3A"/>
          <w:sz w:val="18"/>
        </w:rPr>
        <w:t>https://pubmed.ncbi.nlm.nih.gov/42846347/</w:t>
      </w:r>
    </w:p>
    <w:p>
      <w:pPr>
        <w:pStyle w:val="Heading1"/>
      </w:pPr>
      <w:r>
        <w:t>Aufgenommen am 08.10.2026</w:t>
      </w:r>
    </w:p>
    <w:p>
      <w:pPr>
        <w:pStyle w:val="Heading2"/>
      </w:pPr>
      <w:r>
        <w:t>Ärztevariabilität dominiert Schicht-Effekte in der ED</w:t>
      </w:r>
    </w:p>
    <w:p>
      <w:r>
        <w:rPr>
          <w:i/>
          <w:color w:val="666666"/>
          <w:sz w:val="18"/>
        </w:rPr>
        <w:t>Büyükkaya MŞ et al.  ·  Postgrad Med J  ·  07.10.2026  ·  PMID 42842596</w:t>
      </w:r>
    </w:p>
    <w:p>
      <w:r>
        <w:t>Retrospektive Beobachtungsstudie zu diagnostischer Ressourcentechnik (Labor, Bildgebung, Konsile) bei 11.032 niedrig-akuten ED-Besuchen in der Türkei nach Schichtzeit und Arzt.</w:t>
      </w:r>
    </w:p>
    <w:p>
      <w:r>
        <w:rPr>
          <w:b/>
        </w:rPr>
        <w:t xml:space="preserve">Ergebnis: </w:t>
      </w:r>
      <w:r>
        <w:t>Laborquoten 9,5% (p=0,997), Bildgebung 12,6–13,5% (p=0,485) zeigen keine signifikante Schicht-Variation. Arzt-Level-Variation deutlich größer: Labor 3,5–21,5%, Bildgebung 6,3–28,7%. Ärztliche Spezialisierung dominiert.</w:t>
      </w:r>
    </w:p>
    <w:p>
      <w:r>
        <w:rPr>
          <w:b/>
          <w:sz w:val="19"/>
        </w:rPr>
        <w:t xml:space="preserve">Übertragbarkeit: </w:t>
      </w:r>
      <w:r>
        <w:rPr>
          <w:sz w:val="19"/>
        </w:rPr>
        <w:t>Türkei, aber Frage zur Ärzte-Variabilität und Ressourcennutzung systemunabhängig</w:t>
      </w:r>
    </w:p>
    <w:p>
      <w:r>
        <w:rPr>
          <w:color w:val="5A7D3A"/>
          <w:sz w:val="18"/>
        </w:rPr>
        <w:t>https://pubmed.ncbi.nlm.nih.gov/42842596/</w:t>
      </w:r>
    </w:p>
    <w:p>
      <w:pPr>
        <w:pStyle w:val="Heading2"/>
      </w:pPr>
      <w:r>
        <w:t>Durst bei Herzinsuffizienz-Patienten auf Transplantwarteliste</w:t>
      </w:r>
    </w:p>
    <w:p>
      <w:r>
        <w:rPr>
          <w:i/>
          <w:color w:val="666666"/>
          <w:sz w:val="18"/>
        </w:rPr>
        <w:t>Wefer F et al.  ·  Nurs Crit Care  ·  Nov. 2026  ·  PMID 42841439</w:t>
      </w:r>
    </w:p>
    <w:p>
      <w:r>
        <w:t>Qualitative Mischmethod-Studie mit 10 Patienteninterviews und 2 Fokusgruppen (5 Pflegekräfte) sowie 59 Pflegekräfte-Befragung zur Erfahrung mit Durst bei hochgradig Herzkranken.</w:t>
      </w:r>
    </w:p>
    <w:p>
      <w:r>
        <w:rPr>
          <w:b/>
        </w:rPr>
        <w:t xml:space="preserve">Ergebnis: </w:t>
      </w:r>
      <w:r>
        <w:t>Patienten berichten heterogenes Durstserleben (mild bis schwer). Pflege hält es für relevant, nutzt aber sehr unterschiedliche Assessmentstrategien; &lt;50% bewerten Durst regelmäßig. Patienten und Pflegekräfte wünschen standardisierte Beratung.</w:t>
      </w:r>
    </w:p>
    <w:p>
      <w:r>
        <w:rPr>
          <w:b/>
          <w:sz w:val="19"/>
        </w:rPr>
        <w:t xml:space="preserve">Übertragbarkeit: </w:t>
      </w:r>
      <w:r>
        <w:rPr>
          <w:sz w:val="19"/>
        </w:rPr>
        <w:t>Deutschland (Ruhr-Universität Bochum, Bad Oeynhausen), direkt übertragbar</w:t>
      </w:r>
    </w:p>
    <w:p>
      <w:r>
        <w:rPr>
          <w:color w:val="5A7D3A"/>
          <w:sz w:val="18"/>
        </w:rPr>
        <w:t>https://pubmed.ncbi.nlm.nih.gov/42841439/</w:t>
      </w:r>
    </w:p>
    <w:p>
      <w:pPr>
        <w:pStyle w:val="Heading2"/>
      </w:pPr>
      <w:r>
        <w:t>Primary care accessibility reduces inappropriate ED attendance</w:t>
      </w:r>
    </w:p>
    <w:p>
      <w:r>
        <w:rPr>
          <w:i/>
          <w:color w:val="666666"/>
          <w:sz w:val="18"/>
        </w:rPr>
        <w:t>Koh JJE et al.  ·  Singapore Med J  ·  05.10.2026  ·  PMID 42839708</w:t>
      </w:r>
    </w:p>
    <w:p>
      <w:r>
        <w:t>Retrospektive Kohortenstudie untersuchte, wie Erreichbarkeit und Verfügbarkeit von Hausarztpraxen die unangemessene Notfallaufnahmebesuche (12,5% von 135.838 Besuchen) beeinflussen.</w:t>
      </w:r>
    </w:p>
    <w:p>
      <w:r>
        <w:rPr>
          <w:b/>
        </w:rPr>
        <w:t xml:space="preserve">Ergebnis: </w:t>
      </w:r>
      <w:r>
        <w:t>Reisezeit &gt;5 Min zu nächster Praxis erhöhte unangemessene ED-Besuche um 13–24%, Reisedistanz &gt;1 km um 10–33%. Mehr als 3 Praxen im 1-km-Radius reduzierten unangemessene Besuche um ≥12%.</w:t>
      </w:r>
    </w:p>
    <w:p>
      <w:r>
        <w:rPr>
          <w:b/>
          <w:sz w:val="19"/>
        </w:rPr>
        <w:t xml:space="preserve">Übertragbarkeit: </w:t>
      </w:r>
      <w:r>
        <w:rPr>
          <w:sz w:val="19"/>
        </w:rPr>
        <w:t>Singapur, aber Fragestellung systemunabhängig zur Primärversorgung</w:t>
      </w:r>
    </w:p>
    <w:p>
      <w:r>
        <w:rPr>
          <w:color w:val="5A7D3A"/>
          <w:sz w:val="18"/>
        </w:rPr>
        <w:t>https://pubmed.ncbi.nlm.nih.gov/42839708/</w:t>
      </w:r>
    </w:p>
    <w:p>
      <w:pPr>
        <w:pStyle w:val="Heading2"/>
      </w:pPr>
      <w:r>
        <w:t>Ärzt- und Praxis-Level-Variation in Studienteilnahme bei Krebs</w:t>
      </w:r>
    </w:p>
    <w:p>
      <w:r>
        <w:rPr>
          <w:i/>
          <w:color w:val="666666"/>
          <w:sz w:val="18"/>
        </w:rPr>
        <w:t>Jiang C et al.  ·  JAMA Netw Open  ·  01.10.2026  ·  PMID 42837155</w:t>
      </w:r>
    </w:p>
    <w:p>
      <w:r>
        <w:t>Kohortenstudie von 205.743 Patienten mit fortgeschrittenem Krebs (2011–2024) zur Klinische-Studien-Teilnahme in 1.664 Arzt-Praxen, 107 Zentren (Flatiron-Daten).</w:t>
      </w:r>
    </w:p>
    <w:p>
      <w:r>
        <w:rPr>
          <w:b/>
        </w:rPr>
        <w:t xml:space="preserve">Ergebnis: </w:t>
      </w:r>
      <w:r>
        <w:t>Studienteilnahme 5,2% (2011: 3,9%, 2024: 6,8%). 23,4% Ärzte mit 83,6% Einschlüssen; 19,6% Praxen mit 80,5% der Patienten. Arzt- (12,3%) und Praxis-Level (15,1%) erklären mehr Variation als beobachtbare Patientenfaktoren (11,4%).</w:t>
      </w:r>
    </w:p>
    <w:p>
      <w:r>
        <w:rPr>
          <w:b/>
          <w:sz w:val="19"/>
        </w:rPr>
        <w:t xml:space="preserve">Übertragbarkeit: </w:t>
      </w:r>
      <w:r>
        <w:rPr>
          <w:sz w:val="19"/>
        </w:rPr>
        <w:t>USA, aber Fragestellung zu System- und Anbieter-Barrieren in der Forschung systemunabhängig</w:t>
      </w:r>
    </w:p>
    <w:p>
      <w:r>
        <w:rPr>
          <w:color w:val="5A7D3A"/>
          <w:sz w:val="18"/>
        </w:rPr>
        <w:t>https://pubmed.ncbi.nlm.nih.gov/42837155/</w:t>
      </w:r>
    </w:p>
    <w:p>
      <w:pPr>
        <w:pStyle w:val="Heading2"/>
      </w:pPr>
      <w:r>
        <w:t>Person-zentrierte Demenzpflege durch Coaching umsetzen</w:t>
      </w:r>
    </w:p>
    <w:p>
      <w:r>
        <w:rPr>
          <w:i/>
          <w:color w:val="666666"/>
          <w:sz w:val="18"/>
        </w:rPr>
        <w:t>Moczygemba W et al.  ·  Gerontologist  ·  03.10.2026  ·  PMID 42830447</w:t>
      </w:r>
    </w:p>
    <w:p>
      <w:r>
        <w:t>Pre-post-Studie zur Implementierung des Care Community Coaching Program (CCCP) in 38 Langzeitpflegeeinrichtungen Ohios zur Umsetzung von Dementia Care Practice Recommendations.</w:t>
      </w:r>
    </w:p>
    <w:p>
      <w:r>
        <w:rPr>
          <w:b/>
        </w:rPr>
        <w:t xml:space="preserve">Ergebnis: </w:t>
      </w:r>
      <w:r>
        <w:t>Signifikante Verbesserungen in 8 von 9 Leitlinien-Bereichen für personenzentrierte Versorgung; Baseline-Implementationsrate 61,8%, Arbeitskräfte-Praktiken 78,3%. Barriers und Facilitators dokumentiert.</w:t>
      </w:r>
    </w:p>
    <w:p>
      <w:r>
        <w:rPr>
          <w:b/>
          <w:sz w:val="19"/>
        </w:rPr>
        <w:t xml:space="preserve">Übertragbarkeit: </w:t>
      </w:r>
      <w:r>
        <w:rPr>
          <w:sz w:val="19"/>
        </w:rPr>
        <w:t>USA, aber Fragestellung zur Implementierungsforschung systemübergreifend relevant</w:t>
      </w:r>
    </w:p>
    <w:p>
      <w:r>
        <w:rPr>
          <w:color w:val="5A7D3A"/>
          <w:sz w:val="18"/>
        </w:rPr>
        <w:t>https://pubmed.ncbi.nlm.nih.gov/42830447/</w:t>
      </w:r>
    </w:p>
    <w:p>
      <w:pPr>
        <w:pStyle w:val="Heading2"/>
      </w:pPr>
      <w:r>
        <w:t>Stressabbau senkt Blutdruck bei Normotensiven</w:t>
      </w:r>
    </w:p>
    <w:p>
      <w:r>
        <w:rPr>
          <w:i/>
          <w:color w:val="666666"/>
          <w:sz w:val="18"/>
        </w:rPr>
        <w:t>Kamijima J et al.  ·  J Hum Hypertens  ·  03.10.2026  ·  PMID 42829395</w:t>
      </w:r>
    </w:p>
    <w:p>
      <w:r>
        <w:t>Systematisches Review und Metaanalyse von 22 RCTs (n=3.089) zu Stressmanagement-Interventionen und Blutdruckveränderungen bei gesunden Erwachsenen ohne Hypertonie.</w:t>
      </w:r>
    </w:p>
    <w:p>
      <w:r>
        <w:rPr>
          <w:b/>
        </w:rPr>
        <w:t xml:space="preserve">Ergebnis: </w:t>
      </w:r>
      <w:r>
        <w:t>Mind-Body-Übung: −2,17 mmHg systolisch (95% KI −3,29 bis −1,05), −1,69 mmHg diastolisch; Meditation: −1,49/−1,00 mmHg; Relaxation: −4,76/−1,71 mmHg. Primärprävention möglich.</w:t>
      </w:r>
    </w:p>
    <w:p>
      <w:r>
        <w:rPr>
          <w:b/>
          <w:sz w:val="19"/>
        </w:rPr>
        <w:t xml:space="preserve">Übertragbarkeit: </w:t>
      </w:r>
      <w:r>
        <w:rPr>
          <w:sz w:val="19"/>
        </w:rPr>
        <w:t>Internationale Datenbasis, systemunabhängige Fragestellung zu Prävention</w:t>
      </w:r>
    </w:p>
    <w:p>
      <w:r>
        <w:rPr>
          <w:color w:val="5A7D3A"/>
          <w:sz w:val="18"/>
        </w:rPr>
        <w:t>https://pubmed.ncbi.nlm.nih.gov/42829395/</w:t>
      </w:r>
    </w:p>
    <w:p>
      <w:pPr>
        <w:pStyle w:val="Heading2"/>
      </w:pPr>
      <w:r>
        <w:t>Verweildauer bei Mundkrebs in Deutschland</w:t>
      </w:r>
    </w:p>
    <w:p>
      <w:r>
        <w:rPr>
          <w:i/>
          <w:color w:val="666666"/>
          <w:sz w:val="18"/>
        </w:rPr>
        <w:t>Cirkel LL et al.  ·  Reports (MDPI)  ·  02.09.2026  ·  PMID 42784021</w:t>
      </w:r>
    </w:p>
    <w:p>
      <w:r>
        <w:t>Retrospektive Multizenter-Analyse von 3.957 Krebshospitalisierungen (2019–2024) aus 34 deutschen Krankenhäusern zu Verweildauer und Einflussfaktoren.</w:t>
      </w:r>
    </w:p>
    <w:p>
      <w:r>
        <w:rPr>
          <w:b/>
        </w:rPr>
        <w:t xml:space="preserve">Ergebnis: </w:t>
      </w:r>
      <w:r>
        <w:t>Mediane Verweildauer 6 Tage (IQR 3–13), Mittel 10,2 Tage. 49,4% ≥7 Tage, 23,5% ≥14 Tage. Alter &gt;80 Jahre: Rate Ratio 1,17 (95% KI 1,13–1,21); hohe Komorbiditätslast: RR 1,58 (1,54–1,63); Bluttransfusion RR 1,80, komplexe Intensivbehandlung RR 1,70.</w:t>
      </w:r>
    </w:p>
    <w:p>
      <w:r>
        <w:rPr>
          <w:b/>
          <w:sz w:val="19"/>
        </w:rPr>
        <w:t xml:space="preserve">Übertragbarkeit: </w:t>
      </w:r>
      <w:r>
        <w:rPr>
          <w:sz w:val="19"/>
        </w:rPr>
        <w:t>Deutsche Routinedaten, 49 Krankenhäuser, direkt übertragbar</w:t>
      </w:r>
    </w:p>
    <w:p>
      <w:r>
        <w:rPr>
          <w:color w:val="5A7D3A"/>
          <w:sz w:val="18"/>
        </w:rPr>
        <w:t>https://pubmed.ncbi.nlm.nih.gov/42784021/</w:t>
      </w:r>
    </w:p>
    <w:p>
      <w:pPr>
        <w:pStyle w:val="Heading1"/>
      </w:pPr>
      <w:r>
        <w:t>Aufgenommen am 07.10.2026</w:t>
      </w:r>
    </w:p>
    <w:p>
      <w:pPr>
        <w:pStyle w:val="Heading2"/>
      </w:pPr>
      <w:r>
        <w:t>Reisebelastungen bei Methadon-Ambulanzbesuchen</w:t>
      </w:r>
    </w:p>
    <w:p>
      <w:r>
        <w:rPr>
          <w:i/>
          <w:color w:val="666666"/>
          <w:sz w:val="18"/>
        </w:rPr>
        <w:t>Austin EJ et al.  ·  JAMA Netw Open  ·  01.10.2026  ·  PMID 42837152</w:t>
      </w:r>
    </w:p>
    <w:p>
      <w:r>
        <w:t>Mixed-Methods-Studie (Befragung + qualitative Interviews) zu Reiseerfahrungen von 98 Patienten an Opioid-Behandlungsprogrammen in Washington State.</w:t>
      </w:r>
    </w:p>
    <w:p>
      <w:r>
        <w:rPr>
          <w:b/>
        </w:rPr>
        <w:t xml:space="preserve">Ergebnis: </w:t>
      </w:r>
      <w:r>
        <w:t>Mittlere Reisedauer 82,5 Min (Spannweite 10–330 Min) und durchschnittliche Kosten 15,80 USD pro Besuch. 55,1% fuhren selbst, 21,4% wurden gefahren, 12,3% nutzten ÖPNV. Kernproblem: Unpredictable Wartezeiten und Konflikte mit Beruf/Familie beeinträchtigen Adhärenz.</w:t>
      </w:r>
    </w:p>
    <w:p>
      <w:r>
        <w:rPr>
          <w:b/>
          <w:sz w:val="19"/>
        </w:rPr>
        <w:t xml:space="preserve">Übertragbarkeit: </w:t>
      </w:r>
      <w:r>
        <w:rPr>
          <w:sz w:val="19"/>
        </w:rPr>
        <w:t>USA-Kontext, aber Problematik der Behandlungszugang für marginalisierte Gruppen systemübergreifend</w:t>
      </w:r>
    </w:p>
    <w:p>
      <w:r>
        <w:rPr>
          <w:color w:val="5A7D3A"/>
          <w:sz w:val="18"/>
        </w:rPr>
        <w:t>https://pubmed.ncbi.nlm.nih.gov/42837152/</w:t>
      </w:r>
    </w:p>
    <w:p>
      <w:pPr>
        <w:pStyle w:val="Heading2"/>
      </w:pPr>
      <w:r>
        <w:t>Palliative care in chronic heart failure in the Netherlands</w:t>
      </w:r>
    </w:p>
    <w:p>
      <w:r>
        <w:rPr>
          <w:i/>
          <w:color w:val="666666"/>
          <w:sz w:val="18"/>
        </w:rPr>
        <w:t>Aertsen-van der Kuip MSA et al.  ·  Neth Heart J  ·  06.10.2026  ·  PMID 42837105</w:t>
      </w:r>
    </w:p>
    <w:p>
      <w:r>
        <w:t>Befragung von 120 niederländischen Fachleuten zur Implementierung von Palliativversorgung und Advance Care Planning bei chronischer Herzinsuffizienz.</w:t>
      </w:r>
    </w:p>
    <w:p>
      <w:r>
        <w:rPr>
          <w:b/>
        </w:rPr>
        <w:t xml:space="preserve">Ergebnis: </w:t>
      </w:r>
      <w:r>
        <w:t>97% der Fachleute bewerteten Palliativversorgung als (sehr) wichtig, aber nur etwa ein Drittel bot diese regelmäßig an. 78% konnten Palliativbedarf erkennen, nur 23% fühlten sich ausreichend qualifiziert. Hauptprobleme: fehlende Fähigkeiten und Zeitmangel.</w:t>
      </w:r>
    </w:p>
    <w:p>
      <w:r>
        <w:rPr>
          <w:b/>
          <w:sz w:val="19"/>
        </w:rPr>
        <w:t xml:space="preserve">Übertragbarkeit: </w:t>
      </w:r>
      <w:r>
        <w:rPr>
          <w:sz w:val="19"/>
        </w:rPr>
        <w:t>Niederlande, Sozialversicherungssystem, direkt übertragbar auf Deutschland</w:t>
      </w:r>
    </w:p>
    <w:p>
      <w:r>
        <w:rPr>
          <w:color w:val="5A7D3A"/>
          <w:sz w:val="18"/>
        </w:rPr>
        <w:t>https://pubmed.ncbi.nlm.nih.gov/42837105/</w:t>
      </w:r>
    </w:p>
    <w:p>
      <w:pPr>
        <w:pStyle w:val="Heading2"/>
      </w:pPr>
      <w:r>
        <w:t>Unterversorgung mit Kompressionstherapie bei Ulcus cruris venosum</w:t>
      </w:r>
    </w:p>
    <w:p>
      <w:r>
        <w:rPr>
          <w:i/>
          <w:color w:val="666666"/>
          <w:sz w:val="18"/>
        </w:rPr>
        <w:t>Stücker M et al.  ·  Int Wound J  ·  Okt. 2026  ·  PMID 42834577</w:t>
      </w:r>
    </w:p>
    <w:p>
      <w:r>
        <w:t>Retrospektive Kohortenanalyse von Routinedaten von 3,35 Millionen Versicherten zu Häufigkeit und Determinanten der Kompressionstherapie bei venösen Beindoloren und Ulzera.</w:t>
      </w:r>
    </w:p>
    <w:p>
      <w:r>
        <w:rPr>
          <w:b/>
        </w:rPr>
        <w:t xml:space="preserve">Ergebnis: </w:t>
      </w:r>
      <w:r>
        <w:t>Prävalenz: 0,50% für Ulcus cruris venosum (n=16.615), 7,27% für chronische Venenerkrankung (n=243.681). Über 5 Jahre: 75,85% mit Ulcus erhielten Kompression, aber 24,15% nicht – obwohl Kompression leitliniengerecht ist. Multimorbidität war höher bei Behandelten.</w:t>
      </w:r>
    </w:p>
    <w:p>
      <w:r>
        <w:rPr>
          <w:b/>
          <w:sz w:val="19"/>
        </w:rPr>
        <w:t xml:space="preserve">Übertragbarkeit: </w:t>
      </w:r>
      <w:r>
        <w:rPr>
          <w:sz w:val="19"/>
        </w:rPr>
        <w:t>Deutsche Routinedaten aus der gesetzlichen Krankenversicherung</w:t>
      </w:r>
    </w:p>
    <w:p>
      <w:r>
        <w:rPr>
          <w:color w:val="5A7D3A"/>
          <w:sz w:val="18"/>
        </w:rPr>
        <w:t>https://pubmed.ncbi.nlm.nih.gov/42834577/</w:t>
      </w:r>
    </w:p>
    <w:p>
      <w:pPr>
        <w:pStyle w:val="Heading2"/>
      </w:pPr>
      <w:r>
        <w:t>Qualität der Pflegeheimversorgung für Veteranen nach Hospitalisierung</w:t>
      </w:r>
    </w:p>
    <w:p>
      <w:r>
        <w:rPr>
          <w:i/>
          <w:color w:val="666666"/>
          <w:sz w:val="18"/>
        </w:rPr>
        <w:t>Burke RE et al.  ·  J Gen Intern Med  ·  30.09.2026  ·  PMID 42816723</w:t>
      </w:r>
    </w:p>
    <w:p>
      <w:r>
        <w:t>Retrospektive Kohortenstudie zur Verfügbarkeit und Nutzung hochqualitativer Pflegeheime (SNF) durch ältere Veteranen nach stationärer Aufnahme.</w:t>
      </w:r>
    </w:p>
    <w:p>
      <w:r>
        <w:rPr>
          <w:b/>
        </w:rPr>
        <w:t xml:space="preserve">Ergebnis: </w:t>
      </w:r>
      <w:r>
        <w:t>Von 926.860 Veteranen ≥66 Jahre nutzten &gt;92% private Medicare-Pflegeheime. Nur 34,4% wählten das bestbewertete SNF in der Nähe, 15,4% wählten das schlechteste. 64,5% hätten Zugang zu höher bewerteten Einrichtungen gehabt; 43,7% zu 5+ besseren Alternativen.</w:t>
      </w:r>
    </w:p>
    <w:p>
      <w:r>
        <w:rPr>
          <w:b/>
          <w:sz w:val="19"/>
        </w:rPr>
        <w:t xml:space="preserve">Übertragbarkeit: </w:t>
      </w:r>
      <w:r>
        <w:rPr>
          <w:sz w:val="19"/>
        </w:rPr>
        <w:t>USA-System, aber Frage der Qualitätssteuerung und Patientenwahl systemübergreifend relevant</w:t>
      </w:r>
    </w:p>
    <w:p>
      <w:r>
        <w:rPr>
          <w:color w:val="5A7D3A"/>
          <w:sz w:val="18"/>
        </w:rPr>
        <w:t>https://pubmed.ncbi.nlm.nih.gov/42816723/</w:t>
      </w:r>
    </w:p>
    <w:p>
      <w:pPr>
        <w:pStyle w:val="Heading2"/>
      </w:pPr>
      <w:r>
        <w:t>Partizipation nach Schlaganfall im jungen Erwachsenenalter</w:t>
      </w:r>
    </w:p>
    <w:p>
      <w:r>
        <w:rPr>
          <w:i/>
          <w:color w:val="666666"/>
          <w:sz w:val="18"/>
        </w:rPr>
        <w:t>Donnelly MR et al.  ·  Am J Occup Ther  ·  30.09.2026  ·  PMID 42813599</w:t>
      </w:r>
    </w:p>
    <w:p>
      <w:r>
        <w:t>Scoping Review von 15 Studien zur Partizipation junger Erwachsener (18–45 Jahre) nach Schlaganfall in Rollen und Aktivitäten des Erwachsenenlebens.</w:t>
      </w:r>
    </w:p>
    <w:p>
      <w:r>
        <w:rPr>
          <w:b/>
        </w:rPr>
        <w:t xml:space="preserve">Ergebnis: </w:t>
      </w:r>
      <w:r>
        <w:t>Schlaganfall führt zu Unterbrechung der beruflichen und sozialen Laufbahn; multi-dimensionale Effekte auf Rollen (Partner, Eltern), Bildung und Karriere. Rehabilitation fokussiert typischerweise auf motorische Funktionen, adressiert aber nicht die entwicklungsspezifischen Bedürfnisse junger Erwachsener.</w:t>
      </w:r>
    </w:p>
    <w:p>
      <w:r>
        <w:rPr>
          <w:b/>
          <w:sz w:val="19"/>
        </w:rPr>
        <w:t xml:space="preserve">Übertragbarkeit: </w:t>
      </w:r>
      <w:r>
        <w:rPr>
          <w:sz w:val="19"/>
        </w:rPr>
        <w:t>Qualitative HSR-Synthese, Erkenntnisse zur Versorgungsplanung systemunabhängig</w:t>
      </w:r>
    </w:p>
    <w:p>
      <w:r>
        <w:rPr>
          <w:color w:val="5A7D3A"/>
          <w:sz w:val="18"/>
        </w:rPr>
        <w:t>https://pubmed.ncbi.nlm.nih.gov/42813599/</w:t>
      </w:r>
    </w:p>
    <w:p>
      <w:pPr>
        <w:pStyle w:val="Heading2"/>
      </w:pPr>
      <w:r>
        <w:t>Atriale Kardiomyopathie und klinische Langzeitfolgen</w:t>
      </w:r>
    </w:p>
    <w:p>
      <w:r>
        <w:rPr>
          <w:i/>
          <w:color w:val="666666"/>
          <w:sz w:val="18"/>
        </w:rPr>
        <w:t>Kazi K et al.  ·  Europace  ·  02.09.2026  ·  PMID 42809232</w:t>
      </w:r>
    </w:p>
    <w:p>
      <w:r>
        <w:t>Kohortenstudie zu Assoziationen zwischen echokardiographischen Merkmalen atrialerKardiomyopathie und Inzidenz von Vorhofflimmern, Herzinsuffizienz und Schlaganfall. (Abstract ohne konkrete Ergebnisse verfügbar)</w:t>
      </w:r>
    </w:p>
    <w:p>
      <w:r>
        <w:rPr>
          <w:b/>
        </w:rPr>
        <w:t xml:space="preserve">Ergebnis: </w:t>
      </w:r>
      <w:r>
        <w:t>Abstract enthält keine benennbaren Zahlen oder Ergebnisse; nur Studiendesign beschrieben. Ausschluss.</w:t>
      </w:r>
    </w:p>
    <w:p>
      <w:r>
        <w:rPr>
          <w:b/>
          <w:sz w:val="19"/>
        </w:rPr>
        <w:t xml:space="preserve">Übertragbarkeit: </w:t>
      </w:r>
      <w:r>
        <w:rPr>
          <w:sz w:val="19"/>
        </w:rPr>
        <w:t>Ausgeschlossen</w:t>
      </w:r>
    </w:p>
    <w:p>
      <w:r>
        <w:rPr>
          <w:color w:val="5A7D3A"/>
          <w:sz w:val="18"/>
        </w:rPr>
        <w:t>https://pubmed.ncbi.nlm.nih.gov/42809232/</w:t>
      </w:r>
    </w:p>
    <w:p>
      <w:pPr>
        <w:pStyle w:val="Heading1"/>
      </w:pPr>
      <w:r>
        <w:t>Aufgenommen am 06.10.2026</w:t>
      </w:r>
    </w:p>
    <w:p>
      <w:pPr>
        <w:pStyle w:val="Heading2"/>
      </w:pPr>
      <w:r>
        <w:t>Zugang zu sexueller und reproduktiver Gesundheit bei Jugendlichen in Mogadischu: Qualitative Studie</w:t>
      </w:r>
    </w:p>
    <w:p>
      <w:r>
        <w:rPr>
          <w:i/>
          <w:color w:val="666666"/>
          <w:sz w:val="18"/>
        </w:rPr>
        <w:t>Asowe HA et al.  ·  Sex Health  ·  20.10.2026  ·  PMID 42833641</w:t>
      </w:r>
    </w:p>
    <w:p>
      <w:r>
        <w:t>Qualitative Mixed-Methods-Studie zu Zugang und Inanspruchnahme von Sexual- und Reproduktionsgesundheits-Dienstleistungen bei Jugendlichen in Mogadischu, Somalia.</w:t>
      </w:r>
    </w:p>
    <w:p>
      <w:r>
        <w:rPr>
          <w:b/>
        </w:rPr>
        <w:t xml:space="preserve">Ergebnis: </w:t>
      </w:r>
      <w:r>
        <w:t>21 Gesundheitseinrichtungen identifiziert, aber Dienste nicht auf Jugendliche zugeschnitten. Hauptbarrieren: Stigma, soziale Normen, Geschlechterdynamiken (männliche Zustimmung erforderlich), finanzielle und logistische Hindernisse. Dringend Bedarf für jugendfreundliche, geschlechtssensible Dienste und Norm-Veränderungsaktivitäten.</w:t>
      </w:r>
    </w:p>
    <w:p>
      <w:r>
        <w:rPr>
          <w:b/>
          <w:sz w:val="19"/>
        </w:rPr>
        <w:t xml:space="preserve">Übertragbarkeit: </w:t>
      </w:r>
      <w:r>
        <w:rPr>
          <w:sz w:val="19"/>
        </w:rPr>
        <w:t>Humanitarian-setting, Systemkontext sehr unterschiedlich, Befunde zu Zugangsbarrieren aber international relevant</w:t>
      </w:r>
    </w:p>
    <w:p>
      <w:r>
        <w:rPr>
          <w:color w:val="5A7D3A"/>
          <w:sz w:val="18"/>
        </w:rPr>
        <w:t>https://pubmed.ncbi.nlm.nih.gov/42833641/</w:t>
      </w:r>
    </w:p>
    <w:p>
      <w:pPr>
        <w:pStyle w:val="Heading2"/>
      </w:pPr>
      <w:r>
        <w:t>Expert Agreement on Palliative Reasoning and Monitoring in Heart Failure: International Delphi Study</w:t>
      </w:r>
    </w:p>
    <w:p>
      <w:r>
        <w:rPr>
          <w:i/>
          <w:color w:val="666666"/>
          <w:sz w:val="18"/>
        </w:rPr>
        <w:t>De Leeuw JCB et al.  ·  J Pain Symptom Manage  ·  05.10.2026  ·  PMID 42833597</w:t>
      </w:r>
    </w:p>
    <w:p>
      <w:r>
        <w:t>Internationale Delphi-Studie zur Etablierung von Expertenkonsens über palliative Versorgung bei Herzinsuffizienz aus neun europäischen Ländern.</w:t>
      </w:r>
    </w:p>
    <w:p>
      <w:r>
        <w:rPr>
          <w:b/>
        </w:rPr>
        <w:t xml:space="preserve">Ergebnis: </w:t>
      </w:r>
      <w:r>
        <w:t>156 Experten (Runde 1) und 121 (Runde 2, 78,1% Retention) erreichten Konsens über alle Schritte der palliativen Versorgung (I-CVI 0,82–0,95). Von 33 Symptomen erreichtenÂ 76% Übereinstimmung zu Relevanz und Formulierung. Monitoring-Instrument für Symptome, Wünsche und Bedarf entwickelt.</w:t>
      </w:r>
    </w:p>
    <w:p>
      <w:r>
        <w:rPr>
          <w:b/>
          <w:sz w:val="19"/>
        </w:rPr>
        <w:t xml:space="preserve">Übertragbarkeit: </w:t>
      </w:r>
      <w:r>
        <w:rPr>
          <w:sz w:val="19"/>
        </w:rPr>
        <w:t>Niederländische/europäische Leitung, neun europäische Länder, systemvergleichbar</w:t>
      </w:r>
    </w:p>
    <w:p>
      <w:r>
        <w:rPr>
          <w:color w:val="5A7D3A"/>
          <w:sz w:val="18"/>
        </w:rPr>
        <w:t>https://pubmed.ncbi.nlm.nih.gov/42833597/</w:t>
      </w:r>
    </w:p>
    <w:p>
      <w:pPr>
        <w:pStyle w:val="Heading2"/>
      </w:pPr>
      <w:r>
        <w:t>FOCUS-Tool zur Priorisierung von Guideline-Empfehlungen für Shared Decision Making</w:t>
      </w:r>
    </w:p>
    <w:p>
      <w:r>
        <w:rPr>
          <w:i/>
          <w:color w:val="666666"/>
          <w:sz w:val="18"/>
        </w:rPr>
        <w:t>Orduhan C et al.  ·  J Clin Epidemiol  ·  05.10.2026  ·  PMID 42833371</w:t>
      </w:r>
    </w:p>
    <w:p>
      <w:r>
        <w:t>Entwicklung und Test des FOCUS-Tools zur systematischen Identifikation von Guideline-Empfehlungen, die sich für Shared Decision Making eignen.</w:t>
      </w:r>
    </w:p>
    <w:p>
      <w:r>
        <w:rPr>
          <w:b/>
        </w:rPr>
        <w:t xml:space="preserve">Ergebnis: </w:t>
      </w:r>
      <w:r>
        <w:t>Fünf Items definiert: (1) multiple Optionen mit unterschiedlichen Nutzen-Schaden-Profilen, (2) Entscheidung mit Auswirkungen, (3) potenzielle Diskrepanz in Werten/Vorlieben, (4) Behandlungslast und finanzielle Aspekte, (5) Unsicherheit der Evidenz. Mittelwerte ≥3,38 auf 5-Punkt-Skala für Verständlichkeit, Anwendbarkeit und Nützlichkeit. 12 Teilnehmer aus acht Ländern, gute Akzeptanz.</w:t>
      </w:r>
    </w:p>
    <w:p>
      <w:r>
        <w:rPr>
          <w:b/>
          <w:sz w:val="19"/>
        </w:rPr>
        <w:t xml:space="preserve">Übertragbarkeit: </w:t>
      </w:r>
      <w:r>
        <w:rPr>
          <w:sz w:val="19"/>
        </w:rPr>
        <w:t>Deutsche Beteiligung, internationale Guideline-Entwicklung, systemunabhängige Methode</w:t>
      </w:r>
    </w:p>
    <w:p>
      <w:r>
        <w:rPr>
          <w:color w:val="5A7D3A"/>
          <w:sz w:val="18"/>
        </w:rPr>
        <w:t>https://pubmed.ncbi.nlm.nih.gov/42833371/</w:t>
      </w:r>
    </w:p>
    <w:p>
      <w:pPr>
        <w:pStyle w:val="Heading2"/>
      </w:pPr>
      <w:r>
        <w:t>National Ovarian Cancer Audit (NOCA) 2026: Qualitätsverbesserung der Ovarialkarzinom-Versorgung</w:t>
      </w:r>
    </w:p>
    <w:p>
      <w:r>
        <w:rPr>
          <w:i/>
          <w:color w:val="666666"/>
          <w:sz w:val="18"/>
        </w:rPr>
        <w:t>Zachou G et al.  ·  Clin Oncol (R Coll Radiol)  ·  10.09.2026  ·  PMID 42828886</w:t>
      </w:r>
    </w:p>
    <w:p>
      <w:r>
        <w:t>Nationale englisch-walisische Auditberichte zu Struktur-, Prozess- und Outcome-Qualität in der Ovarialkarzinom-Behandlung mit Quality-Improvement-Empfehlungen.</w:t>
      </w:r>
    </w:p>
    <w:p>
      <w:r>
        <w:rPr>
          <w:b/>
        </w:rPr>
        <w:t xml:space="preserve">Ergebnis: </w:t>
      </w:r>
      <w:r>
        <w:t>Daten nicht im Abstract verfügbar, aber Audit mit anschließenden Qualitätsverbesserungs-Interventionen durchgeführt. Fokus auf Standardisierung der Versorgung und Reduktion von Variabilität.</w:t>
      </w:r>
    </w:p>
    <w:p>
      <w:r>
        <w:rPr>
          <w:b/>
          <w:sz w:val="19"/>
        </w:rPr>
        <w:t xml:space="preserve">Übertragbarkeit: </w:t>
      </w:r>
      <w:r>
        <w:rPr>
          <w:sz w:val="19"/>
        </w:rPr>
        <w:t>Englisch-walisisches System, aber Audit-Methodologie und Qualitätsziele auf deutsches System übertragbar</w:t>
      </w:r>
    </w:p>
    <w:p>
      <w:r>
        <w:rPr>
          <w:color w:val="5A7D3A"/>
          <w:sz w:val="18"/>
        </w:rPr>
        <w:t>https://pubmed.ncbi.nlm.nih.gov/42828886/</w:t>
      </w:r>
    </w:p>
    <w:p>
      <w:pPr>
        <w:pStyle w:val="Heading2"/>
      </w:pPr>
      <w:r>
        <w:t>Langfristiges Rezidivrisiko nach Hysterektomie zur Prolaps-Behandlung</w:t>
      </w:r>
    </w:p>
    <w:p>
      <w:r>
        <w:rPr>
          <w:i/>
          <w:color w:val="666666"/>
          <w:sz w:val="18"/>
        </w:rPr>
        <w:t>Latack KR et al.  ·  Int Urogynecol J  ·  01.10.2026  ·  PMID 42821111</w:t>
      </w:r>
    </w:p>
    <w:p>
      <w:r>
        <w:t>Retrospektive Versicherungsanspruchsanalyse zu Prolaps-Retreatment nach Hysterektomie bei Prolaps-Diagnose, stratifiziert nach chirurgischem Zugang und Begleitverfahren.</w:t>
      </w:r>
    </w:p>
    <w:p>
      <w:r>
        <w:rPr>
          <w:b/>
        </w:rPr>
        <w:t xml:space="preserve">Ergebnis: </w:t>
      </w:r>
      <w:r>
        <w:t>7017 Patienten (Durchschnittsalter 51,3 Jahre). Concurrent Prolaps-Verfahren in 82%. Nach 24.129 Personenjahren: 399 Patienten (5,7%) retreated. Inzidenzrate 16,5 pro 1000 Personenjahre (95% CI 14,9–18,2). Vaginal vs. laparoskopisch: kein signifikanter Unterschied nach Adjustierung (aHR 1,39). Mit Colpopexy: abdominaler Zugang deutlich höheres Risiko.</w:t>
      </w:r>
    </w:p>
    <w:p>
      <w:r>
        <w:rPr>
          <w:b/>
          <w:sz w:val="19"/>
        </w:rPr>
        <w:t xml:space="preserve">Übertragbarkeit: </w:t>
      </w:r>
      <w:r>
        <w:rPr>
          <w:sz w:val="19"/>
        </w:rPr>
        <w:t>US-Versicherungsdaten, aber gynäkologische Fragestellung zur Prozessoptimierung systemunabhängig übertragbar</w:t>
      </w:r>
    </w:p>
    <w:p>
      <w:r>
        <w:rPr>
          <w:color w:val="5A7D3A"/>
          <w:sz w:val="18"/>
        </w:rPr>
        <w:t>https://pubmed.ncbi.nlm.nih.gov/42821111/</w:t>
      </w:r>
    </w:p>
    <w:p>
      <w:pPr>
        <w:pStyle w:val="Heading2"/>
      </w:pPr>
      <w:r>
        <w:t>Nachbarschafts-Umgebung und Präeklampsie-Risiko: Machine-Learning-Analyse</w:t>
      </w:r>
    </w:p>
    <w:p>
      <w:r>
        <w:rPr>
          <w:i/>
          <w:color w:val="666666"/>
          <w:sz w:val="18"/>
        </w:rPr>
        <w:t>Paris CF et al.  ·  Pregnancy (Hoboken)  ·  29.09.2026  ·  PMID 42819622</w:t>
      </w:r>
    </w:p>
    <w:p>
      <w:r>
        <w:t>Matched-Case-Control-Studie mit Machine Learning zur Bestimmung der relativen Bedeutung von Nachbarschaftsfaktoren (soziale Vulnerabilität, gebaute Umgebung) für Präeklampsie-Risiko in Philadelphia.</w:t>
      </w:r>
    </w:p>
    <w:p>
      <w:r>
        <w:rPr>
          <w:b/>
        </w:rPr>
        <w:t xml:space="preserve">Ergebnis: </w:t>
      </w:r>
      <w:r>
        <w:t>18.754 Teilnehmer (4.689 Präeklampsie-Fälle, 14.065 Kontrollen). Drei Nachbarschafts-Gesundheits-Vulnerabilitätsfaktoren am wichtigsten: Prävalenz von Adipositas, hohem Blutdruck und kurzer Schlafdauer bei Erwachsenen. Assoziationen mit Nachbarschafts-Hypertonie-Prävalenz besonders relevant für Präeklampsie-Prävention.</w:t>
      </w:r>
    </w:p>
    <w:p>
      <w:r>
        <w:rPr>
          <w:b/>
          <w:sz w:val="19"/>
        </w:rPr>
        <w:t xml:space="preserve">Übertragbarkeit: </w:t>
      </w:r>
      <w:r>
        <w:rPr>
          <w:sz w:val="19"/>
        </w:rPr>
        <w:t>US-Daten aus Philadelphia, aber sozialstrukturelle Fragestellung und Risiko-Identifikation systemunabhängig relevant</w:t>
      </w:r>
    </w:p>
    <w:p>
      <w:r>
        <w:rPr>
          <w:color w:val="5A7D3A"/>
          <w:sz w:val="18"/>
        </w:rPr>
        <w:t>https://pubmed.ncbi.nlm.nih.gov/42819622/</w:t>
      </w:r>
    </w:p>
    <w:p>
      <w:pPr>
        <w:pStyle w:val="Heading1"/>
      </w:pPr>
      <w:r>
        <w:t>Aufgenommen am 05.10.2026</w:t>
      </w:r>
    </w:p>
    <w:p>
      <w:pPr>
        <w:pStyle w:val="Heading2"/>
      </w:pPr>
      <w:r>
        <w:t>TALK-Debriefing-Methode verbessert Interprofessionalität und Patientensicherheit</w:t>
      </w:r>
    </w:p>
    <w:p>
      <w:r>
        <w:rPr>
          <w:i/>
          <w:color w:val="666666"/>
          <w:sz w:val="18"/>
        </w:rPr>
        <w:t>Targino JSO et al.  ·  J Eval Clin Pract  ·  Okt. 2026  ·  PMID 42829905</w:t>
      </w:r>
    </w:p>
    <w:p>
      <w:r>
        <w:t>Qualitative Aktionsforschung mit 12 Gesundheitsfachpersonen untersuchte Auswirkungen der TALK-Debriefing-Methode auf interprofessionelle Kommunikation und Patientensicherheit in brasilianischer Sekundärversorgung.</w:t>
      </w:r>
    </w:p>
    <w:p>
      <w:r>
        <w:rPr>
          <w:b/>
        </w:rPr>
        <w:t xml:space="preserve">Ergebnis: </w:t>
      </w:r>
      <w:r>
        <w:t>TALK-Methode funktionierte als strukturierendes Instrument für reflektive Praxis und reorganisierte interprofessionelle Interaktionen. Teilnehmer berichteten Verbesserungen in Kommunikation, Teamintegration und Versorgungsplanung sowie psychologisch sichere, nicht-punitives Umfeld. Barrieren: Zeitknappheit, Arbeitsbelastung, variable Engagement, begrenzte institutionelle Unterstützung.</w:t>
      </w:r>
    </w:p>
    <w:p>
      <w:r>
        <w:rPr>
          <w:b/>
          <w:sz w:val="19"/>
        </w:rPr>
        <w:t xml:space="preserve">Übertragbarkeit: </w:t>
      </w:r>
      <w:r>
        <w:rPr>
          <w:sz w:val="19"/>
        </w:rPr>
        <w:t>Qualitatives Design, systemunabhängige Fragestellung zu Kommunikation und Teamentwicklung</w:t>
      </w:r>
    </w:p>
    <w:p>
      <w:r>
        <w:rPr>
          <w:color w:val="5A7D3A"/>
          <w:sz w:val="18"/>
        </w:rPr>
        <w:t>https://pubmed.ncbi.nlm.nih.gov/42829905/</w:t>
      </w:r>
    </w:p>
    <w:p>
      <w:pPr>
        <w:pStyle w:val="Heading2"/>
      </w:pPr>
      <w:r>
        <w:t>Ernährungsberatung reduziert Alkoholkonsum bei mild kognitiver Beeinträchtigung</w:t>
      </w:r>
    </w:p>
    <w:p>
      <w:r>
        <w:rPr>
          <w:i/>
          <w:color w:val="666666"/>
          <w:sz w:val="18"/>
        </w:rPr>
        <w:t>Scheuermann JS et al.  ·  BMC Public Health  ·  03.10.2026  ·  PMID 42829430</w:t>
      </w:r>
    </w:p>
    <w:p>
      <w:r>
        <w:t>Sekundäranalyse eines RCT untersuchte, ob Ernährungsberatung (WFPB oder DGE-Richtlinien) den Alkoholkonsum bei 189 Personen mit milder kognitiver Beeinträchtigung über 12 Monate reduziert.</w:t>
      </w:r>
    </w:p>
    <w:p>
      <w:r>
        <w:rPr>
          <w:b/>
        </w:rPr>
        <w:t xml:space="preserve">Ergebnis: </w:t>
      </w:r>
      <w:r>
        <w:t>Beide Interventionen führten zu signifikanter Reduktion des Alkoholkonsums (Cohens d = 0,30 für WFPB; d = 0,39 für DGE). Frauen profitierten substanziell nur von DGE-Beratung (d = 0,33). Höherer Baseline-Alkoholkonsum, höheres Alter und bessere Adhärenz waren Prädiktoren für stärkere Reduktion.</w:t>
      </w:r>
    </w:p>
    <w:p>
      <w:r>
        <w:rPr>
          <w:b/>
          <w:sz w:val="19"/>
        </w:rPr>
        <w:t xml:space="preserve">Übertragbarkeit: </w:t>
      </w:r>
      <w:r>
        <w:rPr>
          <w:sz w:val="19"/>
        </w:rPr>
        <w:t>Deutsche RCT mit deutschen Interventionen (DGE-Richtlinien), Routine-Datenerfassung übertragbar</w:t>
      </w:r>
    </w:p>
    <w:p>
      <w:r>
        <w:rPr>
          <w:color w:val="5A7D3A"/>
          <w:sz w:val="18"/>
        </w:rPr>
        <w:t>https://pubmed.ncbi.nlm.nih.gov/42829430/</w:t>
      </w:r>
    </w:p>
    <w:p>
      <w:pPr>
        <w:pStyle w:val="Heading2"/>
      </w:pPr>
      <w:r>
        <w:t>Telehealth-Coaching für periphere arterielle Verschlusskrankheit kosteneffektiv unter günstigen Bedingungen</w:t>
      </w:r>
    </w:p>
    <w:p>
      <w:r>
        <w:rPr>
          <w:i/>
          <w:color w:val="666666"/>
          <w:sz w:val="18"/>
        </w:rPr>
        <w:t>Heider D et al.  ·  Am J Prev Cardiol  ·  14.07.2026  ·  PMID 42828241</w:t>
      </w:r>
    </w:p>
    <w:p>
      <w:r>
        <w:t>Kosteneffektivitätsanalyse eines 12-Monatigen Telehealth-Coaching- und Remote-Monitoring-Programms (TeGeCoach) für 394 PAD-Patienten basierend auf Krankenkassendaten und Fragebögen.</w:t>
      </w:r>
    </w:p>
    <w:p>
      <w:r>
        <w:rPr>
          <w:b/>
        </w:rPr>
        <w:t xml:space="preserve">Ergebnis: </w:t>
      </w:r>
      <w:r>
        <w:t>Bei WTP-Schwellenwert von 50.000 Euro: ITT 30% Wahrscheinlichkeit kosteneffektiv; mITT 79%; PP 95%. Interventionskosten 672 Euro. Unter PP-Analyse kosteneffektiv, aber ITT-Szenario nicht. Anpassung der Implementierung notwendig.</w:t>
      </w:r>
    </w:p>
    <w:p>
      <w:r>
        <w:rPr>
          <w:b/>
          <w:sz w:val="19"/>
        </w:rPr>
        <w:t xml:space="preserve">Übertragbarkeit: </w:t>
      </w:r>
      <w:r>
        <w:rPr>
          <w:sz w:val="19"/>
        </w:rPr>
        <w:t>Deutsche Krankenversicherungsdaten, praktische Implementierungsfrage für deutsche Versorgung</w:t>
      </w:r>
    </w:p>
    <w:p>
      <w:r>
        <w:rPr>
          <w:color w:val="5A7D3A"/>
          <w:sz w:val="18"/>
        </w:rPr>
        <w:t>https://pubmed.ncbi.nlm.nih.gov/42828241/</w:t>
      </w:r>
    </w:p>
    <w:p>
      <w:pPr>
        <w:pStyle w:val="Heading2"/>
      </w:pPr>
      <w:r>
        <w:t>Wiederholte pulmonale Rehabilitation bei COPD bleibt wirksam trotz kleinerer Gewinne</w:t>
      </w:r>
    </w:p>
    <w:p>
      <w:r>
        <w:rPr>
          <w:i/>
          <w:color w:val="666666"/>
          <w:sz w:val="18"/>
        </w:rPr>
        <w:t>Mohammed J et al.  ·  Can J Respir Ther  ·  30.09.2026  ·  PMID 42828082</w:t>
      </w:r>
    </w:p>
    <w:p>
      <w:r>
        <w:t>Retrospektive Analyse von 429 COPD-Patienten, die zwei Rehabilitationsprogramme (PR1 und PR2) an Ciro (Niederlande) zwischen 2005 und 2022 absolvierten.</w:t>
      </w:r>
    </w:p>
    <w:p>
      <w:r>
        <w:rPr>
          <w:b/>
        </w:rPr>
        <w:t xml:space="preserve">Ergebnis: </w:t>
      </w:r>
      <w:r>
        <w:t>Nach PR1 und PR2 signifikante Verbesserungen: 6MWD (PR1: 37,0 m [29,2–44,8]; PR2: 27,0 m [19,2–34,8]), Quadrizeps-Kraft (PR1: 10,4 Nm; PR2: 8,6 Nm), CAT, SGRQ, HADS und COPM. Gewinne nach PR2 kleiner, aber klinisch bedeutsam. Alle Outcomes zwischen PR1 und PR2 signifikant rückläufig.</w:t>
      </w:r>
    </w:p>
    <w:p>
      <w:r>
        <w:rPr>
          <w:b/>
          <w:sz w:val="19"/>
        </w:rPr>
        <w:t xml:space="preserve">Übertragbarkeit: </w:t>
      </w:r>
      <w:r>
        <w:rPr>
          <w:sz w:val="19"/>
        </w:rPr>
        <w:t>Niederländisches spezialisiertes Rehabilitationszentrum, vergleichbares System, Ergebnisse übertragbar</w:t>
      </w:r>
    </w:p>
    <w:p>
      <w:r>
        <w:rPr>
          <w:color w:val="5A7D3A"/>
          <w:sz w:val="18"/>
        </w:rPr>
        <w:t>https://pubmed.ncbi.nlm.nih.gov/42828082/</w:t>
      </w:r>
    </w:p>
    <w:p>
      <w:pPr>
        <w:pStyle w:val="Heading2"/>
      </w:pPr>
      <w:r>
        <w:t>Theory of Mind: kognitives Endophänotyp bei juveniler myoklonischer Epilepsie?</w:t>
      </w:r>
    </w:p>
    <w:p>
      <w:r>
        <w:rPr>
          <w:i/>
          <w:color w:val="666666"/>
          <w:sz w:val="18"/>
        </w:rPr>
        <w:t>Crespo-Pimentel B et al.  ·  Epilepsia  ·  01.10.2026  ·  PMID 42821310</w:t>
      </w:r>
    </w:p>
    <w:p>
      <w:r>
        <w:t>Prospektive Querschnittsstudie mit 52 Patienten mit juveniler myoklonischer Epilepsie (JME), 13 nicht-betroffenen Geschwistern und 64 gesunden Kontrollen untersuchte soziale Kognition als mögliches Endophänotyp.</w:t>
      </w:r>
    </w:p>
    <w:p>
      <w:r>
        <w:rPr>
          <w:b/>
        </w:rPr>
        <w:t xml:space="preserve">Ergebnis: </w:t>
      </w:r>
      <w:r>
        <w:t>JME-Patienten zeigten reduzierte Leistung bei Aufgaben zu Mentalisieren über Überzeugungen (Faux Pas Test, Reading Mind in the Eyes). Geschwister unterschieden sich nicht signifikant von JME-Patienten oder Kontrollen. Selektive Beeinträchtigung des Mentalisierens über Überzeugungen in JME, aber keine Evidenz für Endophänotyp-Rolle in dieser Stichprobe.</w:t>
      </w:r>
    </w:p>
    <w:p>
      <w:r>
        <w:rPr>
          <w:b/>
          <w:sz w:val="19"/>
        </w:rPr>
        <w:t xml:space="preserve">Übertragbarkeit: </w:t>
      </w:r>
      <w:r>
        <w:rPr>
          <w:sz w:val="19"/>
        </w:rPr>
        <w:t>Österreich-basierte Studie, systemunabhängige neuropsychologische Fragestellung</w:t>
      </w:r>
    </w:p>
    <w:p>
      <w:r>
        <w:rPr>
          <w:color w:val="5A7D3A"/>
          <w:sz w:val="18"/>
        </w:rPr>
        <w:t>https://pubmed.ncbi.nlm.nih.gov/42821310/</w:t>
      </w:r>
    </w:p>
    <w:p>
      <w:pPr>
        <w:pStyle w:val="Heading2"/>
      </w:pPr>
      <w:r>
        <w:t>Schlechte Adhärenz zu evidenzbasierter kardiovaskulärer Prävention bei schweren psychischen Erkrankungen in Norwegen</w:t>
      </w:r>
    </w:p>
    <w:p>
      <w:r>
        <w:rPr>
          <w:i/>
          <w:color w:val="666666"/>
          <w:sz w:val="18"/>
        </w:rPr>
        <w:t>Larsen S et al.  ·  Nord J Psychiatry  ·  30.09.2026  ·  PMID 42813764</w:t>
      </w:r>
    </w:p>
    <w:p>
      <w:r>
        <w:t>Multizenter-Studie mit 230 Patienten (Schizophrenie/bipolare Störung oder Antipsychotika-Nutzer) untersuchte Adhärenz zu evidenzbasierter kardiovaskulärer Prävention mittels Fidelity Scale.</w:t>
      </w:r>
    </w:p>
    <w:p>
      <w:r>
        <w:rPr>
          <w:b/>
        </w:rPr>
        <w:t xml:space="preserve">Ergebnis: </w:t>
      </w:r>
      <w:r>
        <w:t>Seiten zeigten geringe Fidelity-Scores (höher bei Richtlinien als bei Praktiken). Alle Risikofaktoren hochprevalent: tägliches Rauchen/Schnuff 58,1%. Zwischen Fidelity und Patientenergebnissen keine signifikanten Assoziationen nach Adjustierung. Spezialistische Versorgungsanbieter zeigten niedrige Adhärenz zu evidenzbasierter kardiovaskulärer Risikomanagement-Praxis.</w:t>
      </w:r>
    </w:p>
    <w:p>
      <w:r>
        <w:rPr>
          <w:b/>
          <w:sz w:val="19"/>
        </w:rPr>
        <w:t xml:space="preserve">Übertragbarkeit: </w:t>
      </w:r>
      <w:r>
        <w:rPr>
          <w:sz w:val="19"/>
        </w:rPr>
        <w:t>Norwegische spezialisierte psychische Gesundheitsversorgung, vergleichbar mit deutschem System</w:t>
      </w:r>
    </w:p>
    <w:p>
      <w:r>
        <w:rPr>
          <w:color w:val="5A7D3A"/>
          <w:sz w:val="18"/>
        </w:rPr>
        <w:t>https://pubmed.ncbi.nlm.nih.gov/42813764/</w:t>
      </w:r>
    </w:p>
    <w:p>
      <w:pPr>
        <w:pStyle w:val="Heading1"/>
      </w:pPr>
      <w:r>
        <w:t>Aufgenommen am 04.10.2026</w:t>
      </w:r>
    </w:p>
    <w:p>
      <w:pPr>
        <w:pStyle w:val="Heading2"/>
      </w:pPr>
      <w:r>
        <w:t>Längere MOUD-Dauer senkt postpartales Überdosis- und Sterblichkeitsrisiko</w:t>
      </w:r>
    </w:p>
    <w:p>
      <w:r>
        <w:rPr>
          <w:i/>
          <w:color w:val="666666"/>
          <w:sz w:val="18"/>
        </w:rPr>
        <w:t>Kim A et al.  ·  JAMA Netw Open  ·  01.10.2026  ·  PMID 42826020</w:t>
      </w:r>
    </w:p>
    <w:p>
      <w:r>
        <w:t>Retrospektive Kohorte mit Tennessee-Medicaid-Daten zu Schwangerschaften mit Medikamentöser Opioid-Abhängigkeitsbehandlung (MOUD) und postpartalem Überdosis-/Mortalitätsrisiko.</w:t>
      </w:r>
    </w:p>
    <w:p>
      <w:r>
        <w:rPr>
          <w:b/>
        </w:rPr>
        <w:t xml:space="preserve">Ergebnis: </w:t>
      </w:r>
      <w:r>
        <w:t>Unter 9.360 Schwangerschaften betrug die 1-Jahres-Postpartum-Mortalität/-Überdosisrate 1,58% (148 Fälle). Längere MOUD-Dauer während Schwangerschaft assoziiert mit niedrigerem Risiko: adjustierte Hazard Ratio für 132 vs. 1 Tag MOUD-Versorgung 0,52 (95%-KI 0,31–0,88).</w:t>
      </w:r>
    </w:p>
    <w:p>
      <w:r>
        <w:rPr>
          <w:b/>
          <w:sz w:val="19"/>
        </w:rPr>
        <w:t xml:space="preserve">Übertragbarkeit: </w:t>
      </w:r>
      <w:r>
        <w:rPr>
          <w:sz w:val="19"/>
        </w:rPr>
        <w:t>US-Medicaid-Daten; Fragestellung zur kontinuierlichen Opioid-Substitutionsbehandlung systemunabhängig relevant.</w:t>
      </w:r>
    </w:p>
    <w:p>
      <w:r>
        <w:rPr>
          <w:color w:val="5A7D3A"/>
          <w:sz w:val="18"/>
        </w:rPr>
        <w:t>https://pubmed.ncbi.nlm.nih.gov/42826020/</w:t>
      </w:r>
    </w:p>
    <w:p>
      <w:pPr>
        <w:pStyle w:val="Heading2"/>
      </w:pPr>
      <w:r>
        <w:t>Regionale Disparitäten beim direkten Rettungsdienst-Transport zu geriatrischen Notfallstationen</w:t>
      </w:r>
    </w:p>
    <w:p>
      <w:r>
        <w:rPr>
          <w:i/>
          <w:color w:val="666666"/>
          <w:sz w:val="18"/>
        </w:rPr>
        <w:t>Varg S et al.  ·  BMC Geriatr  ·  02.10.2026  ·  PMID 42823763</w:t>
      </w:r>
    </w:p>
    <w:p>
      <w:r>
        <w:t>Schwedische Register-Studie zu geografischen Unterschieden bei direkter Rettungsdienst-Zuweisung älterer Patienten (≥65J.) zu Notaufnahmen versus geriatrischen Spezialstationen.</w:t>
      </w:r>
    </w:p>
    <w:p>
      <w:r>
        <w:rPr>
          <w:b/>
        </w:rPr>
        <w:t xml:space="preserve">Ergebnis: </w:t>
      </w:r>
      <w:r>
        <w:t>Von 8.208 älteren Patienten wurden 7% (603) direkt zu geriatrischen Stationen transportiert. Zwischen Krankenhauseinzugsgebieten stark variierend (4–21%). Nach Adjustierung reduzierte sich Varianz um 41%, aber erhebliche regionale Unterschiede blieben (MOR=1,54).</w:t>
      </w:r>
    </w:p>
    <w:p>
      <w:r>
        <w:rPr>
          <w:b/>
          <w:sz w:val="19"/>
        </w:rPr>
        <w:t xml:space="preserve">Übertragbarkeit: </w:t>
      </w:r>
      <w:r>
        <w:rPr>
          <w:sz w:val="19"/>
        </w:rPr>
        <w:t>Schweden (Steuerfinanzierung); Prozessqualität und Zugangssteuerung in Primärversorgung auf deutsche Kontexte nur eingeschränkt übertragbar.</w:t>
      </w:r>
    </w:p>
    <w:p>
      <w:r>
        <w:rPr>
          <w:color w:val="5A7D3A"/>
          <w:sz w:val="18"/>
        </w:rPr>
        <w:t>https://pubmed.ncbi.nlm.nih.gov/42823763/</w:t>
      </w:r>
    </w:p>
    <w:p>
      <w:pPr>
        <w:pStyle w:val="Heading2"/>
      </w:pPr>
      <w:r>
        <w:t>Aktualisiertes WHO-STEPS-Modul zur Mundhygiene-Surveillance in der Bevölkerung</w:t>
      </w:r>
    </w:p>
    <w:p>
      <w:r>
        <w:rPr>
          <w:i/>
          <w:color w:val="666666"/>
          <w:sz w:val="18"/>
        </w:rPr>
        <w:t>Rendell N et al.  ·  Bull World Health Organ  ·  01.10.2026  ·  PMID 42820175</w:t>
      </w:r>
    </w:p>
    <w:p>
      <w:r>
        <w:t>WHO-Entwicklung eines aktualisierten Moduls zur Routine-Überwachung von Mundhygieneproblemen in Bevölkerungsumfragen zu nichtübertragbaren Erkrankungen.</w:t>
      </w:r>
    </w:p>
    <w:p>
      <w:r>
        <w:rPr>
          <w:b/>
        </w:rPr>
        <w:t xml:space="preserve">Ergebnis: </w:t>
      </w:r>
      <w:r>
        <w:t>Neues STEPS-Modul ergänzt bisherige Selbstangaben durch klinische Bewertungskomponente. Kann von Zahn- und Nicht-Zahnfachpersonal nach kurzer Schulung durchgeführt werden. Praktisch skalierbar zur Schließung persistierender Überwachungslücken.</w:t>
      </w:r>
    </w:p>
    <w:p>
      <w:r>
        <w:rPr>
          <w:b/>
          <w:sz w:val="19"/>
        </w:rPr>
        <w:t xml:space="preserve">Übertragbarkeit: </w:t>
      </w:r>
      <w:r>
        <w:rPr>
          <w:sz w:val="19"/>
        </w:rPr>
        <w:t>WHO-Empfehlung für globale Anwendbarkeit; für deutsche Public-Health-Surveillance relevant.</w:t>
      </w:r>
    </w:p>
    <w:p>
      <w:r>
        <w:rPr>
          <w:color w:val="5A7D3A"/>
          <w:sz w:val="18"/>
        </w:rPr>
        <w:t>https://pubmed.ncbi.nlm.nih.gov/42820175/</w:t>
      </w:r>
    </w:p>
    <w:p>
      <w:pPr>
        <w:pStyle w:val="Heading2"/>
      </w:pPr>
      <w:r>
        <w:t>Standardisierte Entlassungskriterien von Intensivstationen: Pilotimplementierung</w:t>
      </w:r>
    </w:p>
    <w:p>
      <w:r>
        <w:rPr>
          <w:i/>
          <w:color w:val="666666"/>
          <w:sz w:val="18"/>
        </w:rPr>
        <w:t>Hiller M et al.  ·  BMC Health Serv Res  ·  28.09.2026  ·  PMID 42811355</w:t>
      </w:r>
    </w:p>
    <w:p>
      <w:r>
        <w:t>Deutsche prospektive Pilotstudie zur Implementierbarkeit und klinischen Nutzbarkeit eines standardisierten Satzes von ICU-Entlassungskriterien in zwei Kliniken.</w:t>
      </w:r>
    </w:p>
    <w:p>
      <w:r>
        <w:rPr>
          <w:b/>
        </w:rPr>
        <w:t xml:space="preserve">Ergebnis: </w:t>
      </w:r>
      <w:r>
        <w:t>Elf patientenspezifische und organisationsspezifische Kriterien zeigten &gt;80% Completion bei Entlassungsentscheidungen und wurden als Kern-Set definiert. Organisationsspezifische Kriterien sollten je Klinik, Patientengruppen und Empfängerabteilungen angepasst werden.</w:t>
      </w:r>
    </w:p>
    <w:p>
      <w:r>
        <w:rPr>
          <w:b/>
          <w:sz w:val="19"/>
        </w:rPr>
        <w:t xml:space="preserve">Übertragbarkeit: </w:t>
      </w:r>
      <w:r>
        <w:rPr>
          <w:sz w:val="19"/>
        </w:rPr>
        <w:t>Deutsche Routinedaten aus zwei ICU-Stationen; direkt auf deutsches Versorgungssystem übertragbar.</w:t>
      </w:r>
    </w:p>
    <w:p>
      <w:r>
        <w:rPr>
          <w:color w:val="5A7D3A"/>
          <w:sz w:val="18"/>
        </w:rPr>
        <w:t>https://pubmed.ncbi.nlm.nih.gov/42811355/</w:t>
      </w:r>
    </w:p>
    <w:p>
      <w:pPr>
        <w:pStyle w:val="Heading2"/>
      </w:pPr>
      <w:r>
        <w:t>Arbeitgeberperspektiven auf Arbeitsplatzinklusion bei psychischen Erkrankungen</w:t>
      </w:r>
    </w:p>
    <w:p>
      <w:r>
        <w:rPr>
          <w:i/>
          <w:color w:val="666666"/>
          <w:sz w:val="18"/>
        </w:rPr>
        <w:t>Krumm S et al.  ·  BMC Health Serv Res  ·  28.09.2026  ·  PMID 42811348</w:t>
      </w:r>
    </w:p>
    <w:p>
      <w:r>
        <w:t>Qualitative Interview-Studie mit 29 deutschen Arbeitgebern zu Sichtweisen auf Inklusion von Arbeitnehmern mit psychischen Problemen.</w:t>
      </w:r>
    </w:p>
    <w:p>
      <w:r>
        <w:rPr>
          <w:b/>
        </w:rPr>
        <w:t xml:space="preserve">Ergebnis: </w:t>
      </w:r>
      <w:r>
        <w:t>Arbeitgeber beschrieben ambivalente Orientierungen: Normalisierungstrends einerseits, aber Verunsicherung bei Arbeitsorganisation, Teamdynamiken und Vorhersehbarkeit andererseits. Offenbarung, Eigenverantwortung und gegenseitiges Vertrauen wurden als zentral für Unterstützung betont.</w:t>
      </w:r>
    </w:p>
    <w:p>
      <w:r>
        <w:rPr>
          <w:b/>
          <w:sz w:val="19"/>
        </w:rPr>
        <w:t xml:space="preserve">Übertragbarkeit: </w:t>
      </w:r>
      <w:r>
        <w:rPr>
          <w:sz w:val="19"/>
        </w:rPr>
        <w:t>Deutsche Qualitätsstudie; direkt für deutsche Arbeitsmarkt- und Versorgungspolitik relevant.</w:t>
      </w:r>
    </w:p>
    <w:p>
      <w:r>
        <w:rPr>
          <w:color w:val="5A7D3A"/>
          <w:sz w:val="18"/>
        </w:rPr>
        <w:t>https://pubmed.ncbi.nlm.nih.gov/42811348/</w:t>
      </w:r>
    </w:p>
    <w:p>
      <w:pPr>
        <w:pStyle w:val="Heading2"/>
      </w:pPr>
      <w:r>
        <w:t>Radiotherapie-Personalnotstand UK: Reforming der Zertifizierung zur Schließung der Lücke</w:t>
      </w:r>
    </w:p>
    <w:p>
      <w:r>
        <w:rPr>
          <w:i/>
          <w:color w:val="666666"/>
          <w:sz w:val="18"/>
        </w:rPr>
        <w:t>Vulpe H et al.  ·  Eur J Cancer  ·  16.09.2026  ·  PMID 42810149</w:t>
      </w:r>
    </w:p>
    <w:p>
      <w:r>
        <w:t>Politische Analyse zur Personalknappheit in der klinischen Onkologie/Strahlentherapie im UK und Vorschlag für Regulierungsreform zur internationalen Rekrutierung.</w:t>
      </w:r>
    </w:p>
    <w:p>
      <w:r>
        <w:rPr>
          <w:b/>
        </w:rPr>
        <w:t xml:space="preserve">Ergebnis: </w:t>
      </w:r>
      <w:r>
        <w:t>17% Unterbesetzung in klinischer Onkologie heute, 26% prognostiziert bis 2030. UK-Dualausbildung (Radiotherapie + Systemtherapie) behindert Rekrutierung international trainierter Radiation Oncologists aus Systemen mit separaten Fachrichtungen.</w:t>
      </w:r>
    </w:p>
    <w:p>
      <w:r>
        <w:rPr>
          <w:b/>
          <w:sz w:val="19"/>
        </w:rPr>
        <w:t xml:space="preserve">Übertragbarkeit: </w:t>
      </w:r>
      <w:r>
        <w:rPr>
          <w:sz w:val="19"/>
        </w:rPr>
        <w:t>UK-Healthcare-System mit NHS; Regulierungsfragen systemabhängig, aber Workforceplanung grundsätzlich relevant.</w:t>
      </w:r>
    </w:p>
    <w:p>
      <w:r>
        <w:rPr>
          <w:color w:val="5A7D3A"/>
          <w:sz w:val="18"/>
        </w:rPr>
        <w:t>https://pubmed.ncbi.nlm.nih.gov/42810149/</w:t>
      </w:r>
    </w:p>
    <w:p>
      <w:pPr>
        <w:pStyle w:val="Heading2"/>
      </w:pPr>
      <w:r>
        <w:t>Geschlechter- und Diversitätsfaktoren in psychiatrischer Krankenhausbehandlung: Studienprotokoll PSY-DIVER</w:t>
      </w:r>
    </w:p>
    <w:p>
      <w:r>
        <w:rPr>
          <w:i/>
          <w:color w:val="666666"/>
          <w:sz w:val="18"/>
        </w:rPr>
        <w:t>Peters SJ et al.  ·  BMC Psychiatry  ·  24.09.2026  ·  PMID 42806324</w:t>
      </w:r>
    </w:p>
    <w:p>
      <w:r>
        <w:t>Deutsches Studienprotokoll zur Untersuchung von Geschlechts- und Diversitätsfaktoren (Alter, Migration, sexuelle Orientierung, Religion, SES) in der stationären psychiatrischen Versorgung.</w:t>
      </w:r>
    </w:p>
    <w:p>
      <w:r>
        <w:rPr>
          <w:b/>
        </w:rPr>
        <w:t xml:space="preserve">Ergebnis: </w:t>
      </w:r>
      <w:r>
        <w:t>Geplantes Mixed-Methods-Design mit Routinedaten-Analyse (500.000 stationäre Fälle 2015–2024), 31 Interviews und Online-Befragungen, Delphi-Prozess. NLP-gestützte Extraktion von Diversitätsvariablen aus klinischen Texten.</w:t>
      </w:r>
    </w:p>
    <w:p>
      <w:r>
        <w:rPr>
          <w:b/>
          <w:sz w:val="19"/>
        </w:rPr>
        <w:t xml:space="preserve">Übertragbarkeit: </w:t>
      </w:r>
      <w:r>
        <w:rPr>
          <w:sz w:val="19"/>
        </w:rPr>
        <w:t>Deutsche Studienplanung, neun psychiatrische LVR-Kliniken; hochgradig auf deutsches System übertragbar.</w:t>
      </w:r>
    </w:p>
    <w:p>
      <w:r>
        <w:rPr>
          <w:color w:val="5A7D3A"/>
          <w:sz w:val="18"/>
        </w:rPr>
        <w:t>https://pubmed.ncbi.nlm.nih.gov/42806324/</w:t>
      </w:r>
    </w:p>
    <w:p>
      <w:pPr>
        <w:pStyle w:val="Heading1"/>
      </w:pPr>
      <w:r>
        <w:t>Aufgenommen am 03.10.2026</w:t>
      </w:r>
    </w:p>
    <w:p>
      <w:pPr>
        <w:pStyle w:val="Heading2"/>
      </w:pPr>
      <w:r>
        <w:t>Rural medical students in China: nur 23% planen längerfristiges Bleiben im Landdienst</w:t>
      </w:r>
    </w:p>
    <w:p>
      <w:r>
        <w:rPr>
          <w:i/>
          <w:color w:val="666666"/>
          <w:sz w:val="18"/>
        </w:rPr>
        <w:t>Zhang X et al.  ·  BMC Health Serv Res  ·  21.09.2026  ·  PMID 42823771</w:t>
      </w:r>
    </w:p>
    <w:p>
      <w:r>
        <w:t>Qualitative Studie zu Bleibechancen ländlich ausgebildeter Medizinstudierender in chinesischen Stadtgesundheitszentren nach Pflichtdienst.</w:t>
      </w:r>
    </w:p>
    <w:p>
      <w:r>
        <w:rPr>
          <w:b/>
        </w:rPr>
        <w:t xml:space="preserve">Ergebnis: </w:t>
      </w:r>
      <w:r>
        <w:t>Von 26 befragten Studierenden wollten nur 23,1% (6/26) über die vorgeschriebene Dienstzeit hinaus bleiben. Führungsunterstützung erwies sich als prominentester Faktor für Unterschiede zwischen Bleibern und Weggehern. Work-Family-Balance war Erleichterungsfaktor. Karrieremobilitätsmechanismen wurden als unterentwickelt wahrgenommen.</w:t>
      </w:r>
    </w:p>
    <w:p>
      <w:r>
        <w:rPr>
          <w:b/>
          <w:sz w:val="19"/>
        </w:rPr>
        <w:t xml:space="preserve">Übertragbarkeit: </w:t>
      </w:r>
      <w:r>
        <w:rPr>
          <w:sz w:val="19"/>
        </w:rPr>
        <w:t>Nur bedingt: ländliche Kontexte in China; Fachkräftemangel aber global relevant.</w:t>
      </w:r>
    </w:p>
    <w:p>
      <w:r>
        <w:rPr>
          <w:color w:val="5A7D3A"/>
          <w:sz w:val="18"/>
        </w:rPr>
        <w:t>https://pubmed.ncbi.nlm.nih.gov/42823771/</w:t>
      </w:r>
    </w:p>
    <w:p>
      <w:pPr>
        <w:pStyle w:val="Heading2"/>
      </w:pPr>
      <w:r>
        <w:t>Specialist-led interprofessional weaning program reduces failed weaning in high-risk ICU patients</w:t>
      </w:r>
    </w:p>
    <w:p>
      <w:r>
        <w:rPr>
          <w:i/>
          <w:color w:val="666666"/>
          <w:sz w:val="18"/>
        </w:rPr>
        <w:t>Trudzinski FC et al.  ·  Crit Care  ·  30.09.2026  ·  PMID 42823746</w:t>
      </w:r>
    </w:p>
    <w:p>
      <w:r>
        <w:t>Deutsche Studie zur Wirksamkeit eines spezialisierten, interprofessionellen Beatmungsentwöhnungsprogramms bei intensivpflichtigen Patienten mit hohemRisiko.</w:t>
      </w:r>
    </w:p>
    <w:p>
      <w:r>
        <w:rPr>
          <w:b/>
        </w:rPr>
        <w:t xml:space="preserve">Ergebnis: </w:t>
      </w:r>
      <w:r>
        <w:t>In der propensity-score-matched Analyse wiesen Interventionspatienten höhere Quoten erfolgreicher Beatmungsentwöhnung auf (58,3% vs. 46,4%, OR 2,90; 95%-KI 1,61–5,24; p&lt;0,001). Im unadjustierten primären Analyseplan erreichte der Unterschied keine statistische Signifikanz (OR 1,46; p=0,057). Die Machbarkeit wurde demonstriert, mit 16,3% der Patienten in spezialisierte Weaning-Zentren verlegt.</w:t>
      </w:r>
    </w:p>
    <w:p>
      <w:r>
        <w:rPr>
          <w:b/>
          <w:sz w:val="19"/>
        </w:rPr>
        <w:t xml:space="preserve">Übertragbarkeit: </w:t>
      </w:r>
      <w:r>
        <w:rPr>
          <w:sz w:val="19"/>
        </w:rPr>
        <w:t>Deutsche Daten, ICU-Verweildauer und Beatmungsdauer sind zentrale Versorgungsergebnisse.</w:t>
      </w:r>
    </w:p>
    <w:p>
      <w:r>
        <w:rPr>
          <w:color w:val="5A7D3A"/>
          <w:sz w:val="18"/>
        </w:rPr>
        <w:t>https://pubmed.ncbi.nlm.nih.gov/42823746/</w:t>
      </w:r>
    </w:p>
    <w:p>
      <w:pPr>
        <w:pStyle w:val="Heading2"/>
      </w:pPr>
      <w:r>
        <w:t>Globale ökonomische Last der Schizophrenie: 243 Milliarden USD im Jahr 2019</w:t>
      </w:r>
    </w:p>
    <w:p>
      <w:r>
        <w:rPr>
          <w:i/>
          <w:color w:val="666666"/>
          <w:sz w:val="18"/>
        </w:rPr>
        <w:t>Welter LS et al.  ·  Int J Ment Health Syst  ·  29.09.2026  ·  PMID 42823740</w:t>
      </w:r>
    </w:p>
    <w:p>
      <w:r>
        <w:t>Health-Economic-Modeling-Studie zur globalen sozioökonomischen Last der Schizophrenie 2019 über 204 Länder (direkte, indirekte und informale Pflegekosten).</w:t>
      </w:r>
    </w:p>
    <w:p>
      <w:r>
        <w:rPr>
          <w:b/>
        </w:rPr>
        <w:t xml:space="preserve">Ergebnis: </w:t>
      </w:r>
      <w:r>
        <w:t>22,1 Millionen Erwachsene (0,39% Prävalenz) lebten mit Schizophrenie 2019. Gesamtkosten: 243,2 Milliarden USD (Kaufkraftparität): 47% direkte Kosten, 29% indirekt (Produktivitätsverluste), 24% informale Pflege. Obere-Mittel-Länder trugen proportional zu BIP am meisten, Hocheinkommensländer in absoluten und Pro-Kopf-Kosten am meisten. Regionale Heterogenität erheblich.</w:t>
      </w:r>
    </w:p>
    <w:p>
      <w:r>
        <w:rPr>
          <w:b/>
          <w:sz w:val="19"/>
        </w:rPr>
        <w:t xml:space="preserve">Übertragbarkeit: </w:t>
      </w:r>
      <w:r>
        <w:rPr>
          <w:sz w:val="19"/>
        </w:rPr>
        <w:t>Globale Modellierung; für Versorgungsforschung Deutschland relevant zur Kostenlast-Abschätzung.</w:t>
      </w:r>
    </w:p>
    <w:p>
      <w:r>
        <w:rPr>
          <w:color w:val="5A7D3A"/>
          <w:sz w:val="18"/>
        </w:rPr>
        <w:t>https://pubmed.ncbi.nlm.nih.gov/42823740/</w:t>
      </w:r>
    </w:p>
    <w:p>
      <w:pPr>
        <w:pStyle w:val="Heading2"/>
      </w:pPr>
      <w:r>
        <w:t>Muskel-Selbstmanagement und virtuelle Physiotherapie in Saudi-Arabien: Kulturelle Anpassungen erforderlich</w:t>
      </w:r>
    </w:p>
    <w:p>
      <w:r>
        <w:rPr>
          <w:i/>
          <w:color w:val="666666"/>
          <w:sz w:val="18"/>
        </w:rPr>
        <w:t>AlMuhana N et al.  ·  BMC Health Serv Res  ·  28.09.2026  ·  PMID 42823682</w:t>
      </w:r>
    </w:p>
    <w:p>
      <w:r>
        <w:t>Qualitative Studie (8 Fokusgruppen, n=36) zu Muskel-Selbstmanagement und Akzeptanz virtueller Physiotherapie in Saudi-Arabien.</w:t>
      </w:r>
    </w:p>
    <w:p>
      <w:r>
        <w:rPr>
          <w:b/>
        </w:rPr>
        <w:t xml:space="preserve">Ergebnis: </w:t>
      </w:r>
      <w:r>
        <w:t>Patienten praktizieren selbstgesteuertes Management wegen verzögerter professioneller Versorgung. Barrieren: strukturelle, psychologische, relationale Faktoren. Neu: Kulturelle Lücke – Patienten brauchten Anleitung zum Anpassen von Salah (islamisches Gebet) bei Muskelschmerzen. Hybrida Versorgung wurde bevorzugt (virtuelle Nachsorge nach In-Person-Assessment), nicht virtuell von Anfang an.</w:t>
      </w:r>
    </w:p>
    <w:p>
      <w:r>
        <w:rPr>
          <w:b/>
          <w:sz w:val="19"/>
        </w:rPr>
        <w:t xml:space="preserve">Übertragbarkeit: </w:t>
      </w:r>
      <w:r>
        <w:rPr>
          <w:sz w:val="19"/>
        </w:rPr>
        <w:t>Saudi-Arabien; systemische Übertragbarkeit limitiert, aber Befunde zu Selbstmanagement und virtueller Versorgung aussagekräftig.</w:t>
      </w:r>
    </w:p>
    <w:p>
      <w:r>
        <w:rPr>
          <w:color w:val="5A7D3A"/>
          <w:sz w:val="18"/>
        </w:rPr>
        <w:t>https://pubmed.ncbi.nlm.nih.gov/42823682/</w:t>
      </w:r>
    </w:p>
    <w:p>
      <w:pPr>
        <w:pStyle w:val="Heading2"/>
      </w:pPr>
      <w:r>
        <w:t>mHealth-gestützte Integrated Care für ältere Vorhofflimmernpatienten: Kein Vorteil bei optimaler Baseline</w:t>
      </w:r>
    </w:p>
    <w:p>
      <w:r>
        <w:rPr>
          <w:i/>
          <w:color w:val="666666"/>
          <w:sz w:val="18"/>
        </w:rPr>
        <w:t>Lip GYH et al.  ·  Lancet Reg Health Eur  ·  30.08.2026  ·  PMID 42819749</w:t>
      </w:r>
    </w:p>
    <w:p>
      <w:r>
        <w:t>AFFIRMO cluster-RCT in 6 europäischen Ländern zu iABC-System (Integrated Care mit CGA) vs. usual care bei älteren multimorbiden Vorhofflimmernpatienten.</w:t>
      </w:r>
    </w:p>
    <w:p>
      <w:r>
        <w:rPr>
          <w:b/>
        </w:rPr>
        <w:t xml:space="preserve">Ergebnis: </w:t>
      </w:r>
      <w:r>
        <w:t>1.260 Patienten (Alter 74 Jahre, CHA₂DS₂-VASc 4). Primärer Endpunkt ungeplante Hospitalisierung: 17,1% (Intervention) vs. 18,2% (usual care), OR 0,95 (95%-KI 0,61–1,49; p=0,84). App-Nutzung suboptimal (68,5% nur 1/3 der Beobachtungszeit). Günstige Baseline-Compliance (97,3% Antikoagulation).</w:t>
      </w:r>
    </w:p>
    <w:p>
      <w:r>
        <w:rPr>
          <w:b/>
          <w:sz w:val="19"/>
        </w:rPr>
        <w:t xml:space="preserve">Übertragbarkeit: </w:t>
      </w:r>
      <w:r>
        <w:rPr>
          <w:sz w:val="19"/>
        </w:rPr>
        <w:t>Mehrländer-Studie mit europäischem Kontext, aber System steuerfinanziert; begrenzte Übertragbarkeit auf deutsches Sozialversicherungssystem.</w:t>
      </w:r>
    </w:p>
    <w:p>
      <w:r>
        <w:rPr>
          <w:color w:val="5A7D3A"/>
          <w:sz w:val="18"/>
        </w:rPr>
        <w:t>https://pubmed.ncbi.nlm.nih.gov/42819749/</w:t>
      </w:r>
    </w:p>
    <w:p>
      <w:pPr>
        <w:pStyle w:val="Heading2"/>
      </w:pPr>
      <w:r>
        <w:t>Blutbasierte Screening-Programme am Arbeitsplatz: Ökonomische Ergebnisse inkonsistent</w:t>
      </w:r>
    </w:p>
    <w:p>
      <w:r>
        <w:rPr>
          <w:i/>
          <w:color w:val="666666"/>
          <w:sz w:val="18"/>
        </w:rPr>
        <w:t>Swadźba D et al.  ·  BMC Health Serv Res  ·  29.09.2026  ·  PMID 42816856</w:t>
      </w:r>
    </w:p>
    <w:p>
      <w:r>
        <w:t>Systematischer Review (56 Studien, überwiegend US-Beobachtungsdaten) zu wirtschaftlichen und Produktivitätsergebnissen von Workplace-Health-Programmen mit Blutscreening.</w:t>
      </w:r>
    </w:p>
    <w:p>
      <w:r>
        <w:rPr>
          <w:b/>
        </w:rPr>
        <w:t xml:space="preserve">Ergebnis: </w:t>
      </w:r>
      <w:r>
        <w:t>Gesundheitskosten: 21 von 29 Studien zeigten günstige Ergebnisse. Return-on-Investment: einheitlich positiv (20 Studien), ohne Abschwächung mit Studienqualität. Absenteeismus: 23 Studien, inkonsistent. Präsentismus/Fluktuation: selten gemessen. Günstiger Effekt nur bei strukturiert begleiteten Programmen, nicht Screening allein.</w:t>
      </w:r>
    </w:p>
    <w:p>
      <w:r>
        <w:rPr>
          <w:b/>
          <w:sz w:val="19"/>
        </w:rPr>
        <w:t xml:space="preserve">Übertragbarkeit: </w:t>
      </w:r>
      <w:r>
        <w:rPr>
          <w:sz w:val="19"/>
        </w:rPr>
        <w:t>Überwiegend US-Daten; Fragestellung aber systemunabhängig relevant für Betriebliche Gesundheitsförderung.</w:t>
      </w:r>
    </w:p>
    <w:p>
      <w:r>
        <w:rPr>
          <w:color w:val="5A7D3A"/>
          <w:sz w:val="18"/>
        </w:rPr>
        <w:t>https://pubmed.ncbi.nlm.nih.gov/42816856/</w:t>
      </w:r>
    </w:p>
    <w:p>
      <w:pPr>
        <w:pStyle w:val="Heading2"/>
      </w:pPr>
      <w:r>
        <w:t>Palliativmedizin bei fortgeschrittenem Krebs: MA-Versicherte nutzen mehr, aber bekommen weniger Chemotherapie</w:t>
      </w:r>
    </w:p>
    <w:p>
      <w:r>
        <w:rPr>
          <w:i/>
          <w:color w:val="666666"/>
          <w:sz w:val="18"/>
        </w:rPr>
        <w:t>Hu X et al.  ·  JAMA Netw Open  ·  01.09.2026  ·  PMID 42814462</w:t>
      </w:r>
    </w:p>
    <w:p>
      <w:r>
        <w:t>Kohortenstudie mit SEER/Medicare-Daten zu Palliativmedizin-, Systemtherapie- und Hospiz-Nutzung bei fortgeschrittenem Krebs (Mammakarzinom, CRC, Lungenkarzinom, Pankreaskarzinom, Prostatakarzinom) in Medicare Advantage (MA) vs. Traditional Medicare (TM), 2016–2021.</w:t>
      </w:r>
    </w:p>
    <w:p>
      <w:r>
        <w:rPr>
          <w:b/>
        </w:rPr>
        <w:t xml:space="preserve">Ergebnis: </w:t>
      </w:r>
      <w:r>
        <w:t>135.402 Patienten (32,3% MA, 67,7% TM). MA-Patienten: höhere 6-Monats-Kumulativ-Inzidenz Palliativmedizin (13,3% vs. 9,3%; aHR 1,39 [95%-KI 1,35–1,44]; p&lt;0,001), vor allem HMO-Pläne (aHR 1,66). Nach Oncologist-Matching: PA-Unterschied aufgelöst (aHR 1,05; p=0,19), aber MA-Patienten hatten weniger Systemtherapie (−5,4 Prozentpunkte) und mehr Hospiz (+3,4 Prozentpunkte), persistent nach Matching.</w:t>
      </w:r>
    </w:p>
    <w:p>
      <w:r>
        <w:rPr>
          <w:b/>
          <w:sz w:val="19"/>
        </w:rPr>
        <w:t xml:space="preserve">Übertragbarkeit: </w:t>
      </w:r>
      <w:r>
        <w:rPr>
          <w:sz w:val="19"/>
        </w:rPr>
        <w:t>US-Daten; Frage zur Versorgungssteuerung systemabhängig, aber Palliativmedizin-Integration relevant.</w:t>
      </w:r>
    </w:p>
    <w:p>
      <w:r>
        <w:rPr>
          <w:color w:val="5A7D3A"/>
          <w:sz w:val="18"/>
        </w:rPr>
        <w:t>https://pubmed.ncbi.nlm.nih.gov/42814462/</w:t>
      </w:r>
    </w:p>
    <w:p>
      <w:pPr>
        <w:pStyle w:val="Heading1"/>
      </w:pPr>
      <w:r>
        <w:t>Aufgenommen am 02.10.2026</w:t>
      </w:r>
    </w:p>
    <w:p>
      <w:pPr>
        <w:pStyle w:val="Heading2"/>
      </w:pPr>
      <w:r>
        <w:t>Kosteffektivität konservativer Sauerstofftherapie bei beatmeten Intensivpatienten</w:t>
      </w:r>
    </w:p>
    <w:p>
      <w:r>
        <w:rPr>
          <w:i/>
          <w:color w:val="666666"/>
          <w:sz w:val="18"/>
        </w:rPr>
        <w:t>Zhu Z et al.  ·  Value Health  ·  01.10.2026  ·  PMID 42822832</w:t>
      </w:r>
    </w:p>
    <w:p>
      <w:r>
        <w:t>Eine ökonomische Evaluation der UK-ROX-Studie verglich konservative versus übliche Sauerstofftherapie bei invasiv beatmeten Patienten hinsichtlich Kosten, Lebensqualität und QALY-Gewinne über 90 Tage.</w:t>
      </w:r>
    </w:p>
    <w:p>
      <w:r>
        <w:rPr>
          <w:b/>
        </w:rPr>
        <w:t xml:space="preserve">Ergebnis: </w:t>
      </w:r>
      <w:r>
        <w:t>Konservative Sauerstofftherapie war kostensparend (inkrementelle Kosten −968 £, 95% KI −2279–342 £) mit ähnlichen QALY-Gewinnen (inkrementell 0,001, 95% KI −0,002–0,003); das inkrementelle Nettomonetäre Benefit betrug 979 £, beide Schätzungen aber mit erheblicher Unsicherheit.</w:t>
      </w:r>
    </w:p>
    <w:p>
      <w:r>
        <w:rPr>
          <w:b/>
          <w:sz w:val="19"/>
        </w:rPr>
        <w:t xml:space="preserve">Übertragbarkeit: </w:t>
      </w:r>
      <w:r>
        <w:rPr>
          <w:sz w:val="19"/>
        </w:rPr>
        <w:t>UK-Daten; Fragestellung zu ICU-Managementprozessen und Kosteneffektivität systemunabhängig bedeutsam</w:t>
      </w:r>
    </w:p>
    <w:p>
      <w:r>
        <w:rPr>
          <w:color w:val="5A7D3A"/>
          <w:sz w:val="18"/>
        </w:rPr>
        <w:t>https://pubmed.ncbi.nlm.nih.gov/42822832/</w:t>
      </w:r>
    </w:p>
    <w:p>
      <w:pPr>
        <w:pStyle w:val="Heading2"/>
      </w:pPr>
      <w:r>
        <w:t>Sonelokimab bei moderater bis schwerer Hidradenitis suppurativa</w:t>
      </w:r>
    </w:p>
    <w:p>
      <w:r>
        <w:rPr>
          <w:i/>
          <w:color w:val="666666"/>
          <w:sz w:val="18"/>
        </w:rPr>
        <w:t>Kimball AB et al.  ·  J Am Acad Dermatol  ·  01.10.2026  ·  PMID 42822776</w:t>
      </w:r>
    </w:p>
    <w:p>
      <w:r>
        <w:t>Phase-2-Studie (MIRA) zur Wirksamkeit und Sicherheit des IL-17A/F-inhibierenden Nanobody Sonelokimab versus Placebo bei 234 Patienten mit Hidradenitis suppurativa.</w:t>
      </w:r>
    </w:p>
    <w:p>
      <w:r>
        <w:rPr>
          <w:b/>
        </w:rPr>
        <w:t xml:space="preserve">Ergebnis: </w:t>
      </w:r>
      <w:r>
        <w:t>Sonelokimab 120 mg erreichte HiSCR75 bei 43% (p&lt;0,001) und 240 mg bei 35% (p=0,007) versus Placebo 15%; Placebo-adjustierte Response bei Woche 12 und Erhalt oder Verbesserung bis Woche 24; keine neuen Sicherheitssignale.</w:t>
      </w:r>
    </w:p>
    <w:p>
      <w:r>
        <w:rPr>
          <w:b/>
          <w:sz w:val="19"/>
        </w:rPr>
        <w:t xml:space="preserve">Übertragbarkeit: </w:t>
      </w:r>
      <w:r>
        <w:rPr>
          <w:sz w:val="19"/>
        </w:rPr>
        <w:t>Internationale Studie; neue therapeutische Option, Fragestellung zur klinischen Wirksamkeit systemunabhängig</w:t>
      </w:r>
    </w:p>
    <w:p>
      <w:r>
        <w:rPr>
          <w:color w:val="5A7D3A"/>
          <w:sz w:val="18"/>
        </w:rPr>
        <w:t>https://pubmed.ncbi.nlm.nih.gov/42822776/</w:t>
      </w:r>
    </w:p>
    <w:p>
      <w:pPr>
        <w:pStyle w:val="Heading2"/>
      </w:pPr>
      <w:r>
        <w:t>Insulindosierung im Alltag: Kohlenhydratberechnung bei Typ-1-Diabetes</w:t>
      </w:r>
    </w:p>
    <w:p>
      <w:r>
        <w:rPr>
          <w:i/>
          <w:color w:val="666666"/>
          <w:sz w:val="18"/>
        </w:rPr>
        <w:t>Everett EM et al.  ·  Endocr Pract  ·  01.10.2026  ·  PMID 42822598</w:t>
      </w:r>
    </w:p>
    <w:p>
      <w:r>
        <w:t>Versorgungsforschungsstudie mit 903 Erwachsenen mit Typ-1-Diabetes zur Charakterisierung realer Insulindosierungsstrategien, Abweichungen zwischen Patientenangaben und dokumentierten Vorgaben sowie Nutzung von Smartphone-Apps zur Kohlenhydratberechnung.</w:t>
      </w:r>
    </w:p>
    <w:p>
      <w:r>
        <w:rPr>
          <w:b/>
        </w:rPr>
        <w:t xml:space="preserve">Ergebnis: </w:t>
      </w:r>
      <w:r>
        <w:t>54% berichteten Kohlenhydratberechnung, 39% erfahrungsbasierte Schätzung, 2% Festdosierung; HbA1c unterschied sich nicht zwischen Strategien; 51% nutzten Apps niemals; Hauptbarrieren waren Memorisation häufiger Lebensmittel und wahrgenommene Zeitbelastung.</w:t>
      </w:r>
    </w:p>
    <w:p>
      <w:r>
        <w:rPr>
          <w:b/>
          <w:sz w:val="19"/>
        </w:rPr>
        <w:t xml:space="preserve">Übertragbarkeit: </w:t>
      </w:r>
      <w:r>
        <w:rPr>
          <w:sz w:val="19"/>
        </w:rPr>
        <w:t>USA, aber Versorgungsforschung zu praktischen Diabetesmanagement-Strategien und Patient-Reported-Outcomes übertragbar</w:t>
      </w:r>
    </w:p>
    <w:p>
      <w:r>
        <w:rPr>
          <w:color w:val="5A7D3A"/>
          <w:sz w:val="18"/>
        </w:rPr>
        <w:t>https://pubmed.ncbi.nlm.nih.gov/42822598/</w:t>
      </w:r>
    </w:p>
    <w:p>
      <w:pPr>
        <w:pStyle w:val="Heading2"/>
      </w:pPr>
      <w:r>
        <w:t>Virtual Nursing in der Notaufnahme: Dokumentation und Unterbrechungen</w:t>
      </w:r>
    </w:p>
    <w:p>
      <w:r>
        <w:rPr>
          <w:i/>
          <w:color w:val="666666"/>
          <w:sz w:val="18"/>
        </w:rPr>
        <w:t>Khairat S et al.  ·  J Am Med Inform Assoc  ·  01.10.2026  ·  PMID 42821433</w:t>
      </w:r>
    </w:p>
    <w:p>
      <w:r>
        <w:t>Nicht-randomisierte Kohortenstudie zur Auswirkung von Virtual Nursing auf Dokumentationsvollständigkeit, Aufnahmeuntersuchungsdauer und Arbeitsunterbrechungen bei stationär aufgenommenen Patienten.</w:t>
      </w:r>
    </w:p>
    <w:p>
      <w:r>
        <w:rPr>
          <w:b/>
        </w:rPr>
        <w:t xml:space="preserve">Ergebnis: </w:t>
      </w:r>
      <w:r>
        <w:t>Virtual Nursing war mit 3,16 Minuten längerer Aufnahmedauer verbunden, aber signifikant mehr abgeschlossenen Aufnahmeuntersuchungsaufgaben und signifikant weniger Unterbrechungen im Vergleich zu persönlichen Aufnahmen.</w:t>
      </w:r>
    </w:p>
    <w:p>
      <w:r>
        <w:rPr>
          <w:b/>
          <w:sz w:val="19"/>
        </w:rPr>
        <w:t xml:space="preserve">Übertragbarkeit: </w:t>
      </w:r>
      <w:r>
        <w:rPr>
          <w:sz w:val="19"/>
        </w:rPr>
        <w:t>USA; Versorgungsprozess und Workflow-Optimierung systemunabhängig relevant</w:t>
      </w:r>
    </w:p>
    <w:p>
      <w:r>
        <w:rPr>
          <w:color w:val="5A7D3A"/>
          <w:sz w:val="18"/>
        </w:rPr>
        <w:t>https://pubmed.ncbi.nlm.nih.gov/42821433/</w:t>
      </w:r>
    </w:p>
    <w:p>
      <w:pPr>
        <w:pStyle w:val="Heading2"/>
      </w:pPr>
      <w:r>
        <w:t>Tuberkulöse Spondylodiszitis in Deutschland: Epidemiologie und Verlauf</w:t>
      </w:r>
    </w:p>
    <w:p>
      <w:r>
        <w:rPr>
          <w:i/>
          <w:color w:val="666666"/>
          <w:sz w:val="18"/>
        </w:rPr>
        <w:t>Lang S et al.  ·  Global Spine J  ·  01.10.2026  ·  PMID 42820646</w:t>
      </w:r>
    </w:p>
    <w:p>
      <w:r>
        <w:t>Bevölkerungsgestützte DRG-Analyse zur stationären Last, Behandlungsmuster und Krankenhaussterblichkeit der spinalen Tuberkulose in Deutschland 2019–2025 während demografischen Wandels.</w:t>
      </w:r>
    </w:p>
    <w:p>
      <w:r>
        <w:rPr>
          <w:b/>
        </w:rPr>
        <w:t xml:space="preserve">Ergebnis: </w:t>
      </w:r>
      <w:r>
        <w:t>Stabile Hospitalisierungsraten (ASR 0,11–0,14/100.000; APC −3,1%, p=0,14); überwiegend männliche Patienten (70,3%), Alter 18–39 Jahre (56–69%); Krankenhausfallletalität &lt;0,5%; keine Erhöhung trotz 43% Anstieg der ausländischen Bevölkerung; operative DRG-Zuweisung variabel (13,5–42,2%).</w:t>
      </w:r>
    </w:p>
    <w:p>
      <w:r>
        <w:rPr>
          <w:b/>
          <w:sz w:val="19"/>
        </w:rPr>
        <w:t xml:space="preserve">Übertragbarkeit: </w:t>
      </w:r>
      <w:r>
        <w:rPr>
          <w:sz w:val="19"/>
        </w:rPr>
        <w:t>Deutsche Routinedaten; epidemiologisch und systemisch direkt anwendbar</w:t>
      </w:r>
    </w:p>
    <w:p>
      <w:r>
        <w:rPr>
          <w:color w:val="5A7D3A"/>
          <w:sz w:val="18"/>
        </w:rPr>
        <w:t>https://pubmed.ncbi.nlm.nih.gov/42820646/</w:t>
      </w:r>
    </w:p>
    <w:p>
      <w:pPr>
        <w:pStyle w:val="Heading2"/>
      </w:pPr>
      <w:r>
        <w:t>Psychische Anpassung an Stigma bei Hauterkrankungen im jungen Erwachsenenalter</w:t>
      </w:r>
    </w:p>
    <w:p>
      <w:r>
        <w:rPr>
          <w:i/>
          <w:color w:val="666666"/>
          <w:sz w:val="18"/>
        </w:rPr>
        <w:t>Stuhlmann CFZ et al.  ·  Br J Health Psychol  ·  Nov. 2026  ·  PMID 42820641</w:t>
      </w:r>
    </w:p>
    <w:p>
      <w:r>
        <w:t>Querschnittstudie mit 195 jungen Erwachsenen (Psoriasis 55%, atopische Dermatitis 23%, Hidradenitis suppurativa 22%) zu indirekten Effekten internalisierter Stigma in der Beziehung zwischen sozialer Stigma und psychosozialer Anpassung.</w:t>
      </w:r>
    </w:p>
    <w:p>
      <w:r>
        <w:rPr>
          <w:b/>
        </w:rPr>
        <w:t xml:space="preserve">Ergebnis: </w:t>
      </w:r>
      <w:r>
        <w:t>Signifikante indirekte Effekte internalisierter Stigma auf Beziehungen zwischen sozialer Stigma und allen Anpassungsergebnissen (p's&lt;0,01, R²=0,10–0,64); internalisierte Stigma als zentraler Treiber psychischer Belastung, Sozialsymptome und Aktivitätsreduktion.</w:t>
      </w:r>
    </w:p>
    <w:p>
      <w:r>
        <w:rPr>
          <w:b/>
          <w:sz w:val="19"/>
        </w:rPr>
        <w:t xml:space="preserve">Übertragbarkeit: </w:t>
      </w:r>
      <w:r>
        <w:rPr>
          <w:sz w:val="19"/>
        </w:rPr>
        <w:t>Deutschland (Hamburg); hochgradig übertragbar auf deutsches Versorgungssystem</w:t>
      </w:r>
    </w:p>
    <w:p>
      <w:r>
        <w:rPr>
          <w:color w:val="5A7D3A"/>
          <w:sz w:val="18"/>
        </w:rPr>
        <w:t>https://pubmed.ncbi.nlm.nih.gov/42820641/</w:t>
      </w:r>
    </w:p>
    <w:p>
      <w:pPr>
        <w:pStyle w:val="Heading1"/>
      </w:pPr>
      <w:r>
        <w:t>Aufgenommen am 01.10.2026</w:t>
      </w:r>
    </w:p>
    <w:p>
      <w:pPr>
        <w:pStyle w:val="Heading2"/>
      </w:pPr>
      <w:r>
        <w:t>Psychometric validation of German Self-efficacy Scale in hip arthroplasty patients</w:t>
      </w:r>
    </w:p>
    <w:p>
      <w:r>
        <w:rPr>
          <w:i/>
          <w:color w:val="666666"/>
          <w:sz w:val="18"/>
        </w:rPr>
        <w:t>Mooiweer Y et al.  ·  Z Evid Fortbild Qual Gesundhwes  ·  30.09.2026  ·  PMID 42816197</w:t>
      </w:r>
    </w:p>
    <w:p>
      <w:r>
        <w:t>Studie validierte die German Self-efficacy Expectation Scale (SES-G) als Messinstrument für Selbsteffizienz bei Patienten mit Hüftgelenksersatz.</w:t>
      </w:r>
    </w:p>
    <w:p>
      <w:r>
        <w:rPr>
          <w:b/>
        </w:rPr>
        <w:t xml:space="preserve">Ergebnis: </w:t>
      </w:r>
      <w:r>
        <w:t>Exploratory Faktor-Analyse zeigte 3 Komponenten, erklärt 75% der Varianz; interne Konsistenz (MacDonald's Omega = 0,81) und Test-Retest-Reliabilität (ICC 0,71) waren gut; 80% der Hypothesen zur Konstruktvalidität bestätigt. SES-G ist valides und reliables Instrument.</w:t>
      </w:r>
    </w:p>
    <w:p>
      <w:r>
        <w:rPr>
          <w:b/>
          <w:sz w:val="19"/>
        </w:rPr>
        <w:t xml:space="preserve">Übertragbarkeit: </w:t>
      </w:r>
      <w:r>
        <w:rPr>
          <w:sz w:val="19"/>
        </w:rPr>
        <w:t>Deutschland, validierte Messskala für deutschsprachige Patienten</w:t>
      </w:r>
    </w:p>
    <w:p>
      <w:r>
        <w:rPr>
          <w:color w:val="5A7D3A"/>
          <w:sz w:val="18"/>
        </w:rPr>
        <w:t>https://pubmed.ncbi.nlm.nih.gov/42816197/</w:t>
      </w:r>
    </w:p>
    <w:p>
      <w:pPr>
        <w:pStyle w:val="Heading2"/>
      </w:pPr>
      <w:r>
        <w:t>Quality improvement für Familienplanung im Wochenbett in Äthiopien</w:t>
      </w:r>
    </w:p>
    <w:p>
      <w:r>
        <w:rPr>
          <w:i/>
          <w:color w:val="666666"/>
          <w:sz w:val="18"/>
        </w:rPr>
        <w:t>Tesfaye B et al.  ·  BMJ Open Qual  ·  30.09.2026  ·  PMID 42816055</w:t>
      </w:r>
    </w:p>
    <w:p>
      <w:r>
        <w:t>Qualitätsverbesserungsprojekt mit PDSA-Zyklen zur Steigerung der unmittelbaren postpartalen Familienplanung in einem äthiopischen Lehrkrankenhaus.</w:t>
      </w:r>
    </w:p>
    <w:p>
      <w:r>
        <w:rPr>
          <w:b/>
        </w:rPr>
        <w:t xml:space="preserve">Ergebnis: </w:t>
      </w:r>
      <w:r>
        <w:t>Uptake der postpartalen Familienplanung stieg von 10,2% auf 45,8% über 14 Wochen; Implantate waren die häufigste Methode (54,2%); Hürden waren mangelhafte Beratung, begrenzte Fortbildung und schlechte Dokumentation.</w:t>
      </w:r>
    </w:p>
    <w:p>
      <w:r>
        <w:rPr>
          <w:b/>
          <w:sz w:val="19"/>
        </w:rPr>
        <w:t xml:space="preserve">Übertragbarkeit: </w:t>
      </w:r>
      <w:r>
        <w:rPr>
          <w:sz w:val="19"/>
        </w:rPr>
        <w:t>Nur bedingt übertragbar, Gesundheitssystem mit stark unterschiedlicher Ressourcenlage</w:t>
      </w:r>
    </w:p>
    <w:p>
      <w:r>
        <w:rPr>
          <w:color w:val="5A7D3A"/>
          <w:sz w:val="18"/>
        </w:rPr>
        <w:t>https://pubmed.ncbi.nlm.nih.gov/42816055/</w:t>
      </w:r>
    </w:p>
    <w:p>
      <w:pPr>
        <w:pStyle w:val="Heading2"/>
      </w:pPr>
      <w:r>
        <w:t>Generative KI-Adoption in psychotherapeutischer Praxis</w:t>
      </w:r>
    </w:p>
    <w:p>
      <w:r>
        <w:rPr>
          <w:i/>
          <w:color w:val="666666"/>
          <w:sz w:val="18"/>
        </w:rPr>
        <w:t>Blease C et al.  ·  JMIR Ment Health  ·  30.09.2026  ·  PMID 42815888</w:t>
      </w:r>
    </w:p>
    <w:p>
      <w:r>
        <w:t>Internationale Querschnittsstudie zu aktueller Nutzung von Generative-AI-Tools (ChatGPT, Gemini, Copilot) durch Psychotherapeuten in 30 Ländern.</w:t>
      </w:r>
    </w:p>
    <w:p>
      <w:r>
        <w:rPr>
          <w:b/>
        </w:rPr>
        <w:t xml:space="preserve">Ergebnis: </w:t>
      </w:r>
      <w:r>
        <w:t>54,6% (n=418/766) nutzen mindestens ein GenAI-Tool klinisch; ChatGPT am häufigsten (84,7%); Top-Anwendungen: Behandlungsplanung (41,9%), Administrative Aufgaben (41,4%), Psychoedukation (39,7%); 82,8% berichten Arbeitsbelastungsreduktion; nur 18,1% erhielten institutionelle Förderung; 81,1% erhielten keine AI-Fortbildung.</w:t>
      </w:r>
    </w:p>
    <w:p>
      <w:r>
        <w:rPr>
          <w:b/>
          <w:sz w:val="19"/>
        </w:rPr>
        <w:t xml:space="preserve">Übertragbarkeit: </w:t>
      </w:r>
      <w:r>
        <w:rPr>
          <w:sz w:val="19"/>
        </w:rPr>
        <w:t>Systemunabhängig, Fachfrage zu Technologieeinsatz in Praxis global relevant</w:t>
      </w:r>
    </w:p>
    <w:p>
      <w:r>
        <w:rPr>
          <w:color w:val="5A7D3A"/>
          <w:sz w:val="18"/>
        </w:rPr>
        <w:t>https://pubmed.ncbi.nlm.nih.gov/42815888/</w:t>
      </w:r>
    </w:p>
    <w:p>
      <w:pPr>
        <w:pStyle w:val="Heading2"/>
      </w:pPr>
      <w:r>
        <w:t>Discrete Choice Experiment zu Präferenzen für Carrier Screening in Singapur</w:t>
      </w:r>
    </w:p>
    <w:p>
      <w:r>
        <w:rPr>
          <w:i/>
          <w:color w:val="666666"/>
          <w:sz w:val="18"/>
        </w:rPr>
        <w:t>Blythe R et al.  ·  Patient  ·  30.09.2026  ·  PMID 42814378</w:t>
      </w:r>
    </w:p>
    <w:p>
      <w:r>
        <w:t>Stated-Preference-Studie mit 500 Singapurern zu bevorzugten Merkmalen eines nationalen Carrier-Screening-Programms für genetische Erkrankungen.</w:t>
      </w:r>
    </w:p>
    <w:p>
      <w:r>
        <w:rPr>
          <w:b/>
        </w:rPr>
        <w:t xml:space="preserve">Ergebnis: </w:t>
      </w:r>
      <w:r>
        <w:t>Bevorzugte niedrigere Kosten, breitere Krankheitspanels und kürzere Wartezeiten; vorhergesagte Uptake 85-90% kostenlos, 61-69% bei Zuzahlung von $1.200; nationale Budgetauswirkungen &lt;$13,1 Mio./Jahr abhängig von Programmdesign.</w:t>
      </w:r>
    </w:p>
    <w:p>
      <w:r>
        <w:rPr>
          <w:b/>
          <w:sz w:val="19"/>
        </w:rPr>
        <w:t xml:space="preserve">Übertragbarkeit: </w:t>
      </w:r>
      <w:r>
        <w:rPr>
          <w:sz w:val="19"/>
        </w:rPr>
        <w:t>Singapur, transferierbar für Screening-Programmgestaltung in ähnlichen Systemen</w:t>
      </w:r>
    </w:p>
    <w:p>
      <w:r>
        <w:rPr>
          <w:color w:val="5A7D3A"/>
          <w:sz w:val="18"/>
        </w:rPr>
        <w:t>https://pubmed.ncbi.nlm.nih.gov/42814378/</w:t>
      </w:r>
    </w:p>
    <w:p>
      <w:pPr>
        <w:pStyle w:val="Heading2"/>
      </w:pPr>
      <w:r>
        <w:t>Migräne-Versorgungslücke: qualitative Patientenperspektive</w:t>
      </w:r>
    </w:p>
    <w:p>
      <w:r>
        <w:rPr>
          <w:i/>
          <w:color w:val="666666"/>
          <w:sz w:val="18"/>
        </w:rPr>
        <w:t>Göbel CH et al.  ·  Pain Ther  ·  30.09.2026  ·  PMID 42814346</w:t>
      </w:r>
    </w:p>
    <w:p>
      <w:r>
        <w:t>Qualitative reflexive thematische Analyse von 446 Instagram/Facebook-Kommentaren zur Wahrnehmung von Migräne-Versorgung über 12 Jahre.</w:t>
      </w:r>
    </w:p>
    <w:p>
      <w:r>
        <w:rPr>
          <w:b/>
        </w:rPr>
        <w:t xml:space="preserve">Ergebnis: </w:t>
      </w:r>
      <w:r>
        <w:t>Patienten bestätigen medizinische Fortschritte (Migräne-spezifische Therapien, CGRP-Inhibitoren, spezialisierte Services), erleben diese aber als unvollständig umgesetzt; persistente Barrieren: Diagnoseverzögerung, ungleicher Zugang zu Spezialisten, Rückerstattungsbeschränkungen, Stigma, begrenzte gesellschaftliche Anerkennung. Kernkonzept: Migraine Care Gap zwischen biomedizinischer Innovation und Versorgungspraxis.</w:t>
      </w:r>
    </w:p>
    <w:p>
      <w:r>
        <w:rPr>
          <w:b/>
          <w:sz w:val="19"/>
        </w:rPr>
        <w:t xml:space="preserve">Übertragbarkeit: </w:t>
      </w:r>
      <w:r>
        <w:rPr>
          <w:sz w:val="19"/>
        </w:rPr>
        <w:t>Deutschland, Versorgungsforschung zu Patientenerleben von Innovationstransfer</w:t>
      </w:r>
    </w:p>
    <w:p>
      <w:r>
        <w:rPr>
          <w:color w:val="5A7D3A"/>
          <w:sz w:val="18"/>
        </w:rPr>
        <w:t>https://pubmed.ncbi.nlm.nih.gov/42814346/</w:t>
      </w:r>
    </w:p>
    <w:p>
      <w:pPr>
        <w:pStyle w:val="Heading2"/>
      </w:pPr>
      <w:r>
        <w:t>Kontextfaktoren und depressive Symptome: Postleitzahl-Datenverknüpfung in Deutschland</w:t>
      </w:r>
    </w:p>
    <w:p>
      <w:r>
        <w:rPr>
          <w:i/>
          <w:color w:val="666666"/>
          <w:sz w:val="18"/>
        </w:rPr>
        <w:t>Schoenweger P et al.  ·  Eur Arch Psychiatry Clin Neurosci  ·  30.09.2026  ·  PMID 42814112</w:t>
      </w:r>
    </w:p>
    <w:p>
      <w:r>
        <w:t>Querschnittsstudie, die individuelle POKAL-Umfragedaten (n=2.323) mit deutschen Routinedaten auf Postleitzahl-Ebene zu Depression verknüpfte.</w:t>
      </w:r>
    </w:p>
    <w:p>
      <w:r>
        <w:rPr>
          <w:b/>
        </w:rPr>
        <w:t xml:space="preserve">Ergebnis: </w:t>
      </w:r>
      <w:r>
        <w:t>Kontextfaktoren verbesserten Modellfit (AICc=13.640,80 vs. 13.718,24 nur Demografie); Area-level Deprivation zeigte beste einzelne Anpassung; Datenverknüpfung ist ressourcenschonend und technisch umsetzbar in German health research infrastructure. Räumliche Auflösung entscheidend für Assoziation.</w:t>
      </w:r>
    </w:p>
    <w:p>
      <w:r>
        <w:rPr>
          <w:b/>
          <w:sz w:val="19"/>
        </w:rPr>
        <w:t xml:space="preserve">Übertragbarkeit: </w:t>
      </w:r>
      <w:r>
        <w:rPr>
          <w:sz w:val="19"/>
        </w:rPr>
        <w:t>Deutsche Routinedaten, gesetzlich Versicherte, Versorgungsforschungs-Infrastruktur</w:t>
      </w:r>
    </w:p>
    <w:p>
      <w:r>
        <w:rPr>
          <w:color w:val="5A7D3A"/>
          <w:sz w:val="18"/>
        </w:rPr>
        <w:t>https://pubmed.ncbi.nlm.nih.gov/42814112/</w:t>
      </w:r>
    </w:p>
    <w:p>
      <w:pPr>
        <w:pStyle w:val="Heading1"/>
      </w:pPr>
      <w:r>
        <w:t>Aufgenommen am 30.09.2026</w:t>
      </w:r>
    </w:p>
    <w:p>
      <w:pPr>
        <w:pStyle w:val="Heading2"/>
      </w:pPr>
      <w:r>
        <w:t>Digitalisierung und Krankenhausperformance: Einfluss der elektronischen Dokumentation</w:t>
      </w:r>
    </w:p>
    <w:p>
      <w:r>
        <w:rPr>
          <w:i/>
          <w:color w:val="666666"/>
          <w:sz w:val="18"/>
        </w:rPr>
        <w:t>Remus P et al.  ·  J Med Internet Res  ·  29.09.2026  ·  PMID 42809839</w:t>
      </w:r>
    </w:p>
    <w:p>
      <w:r>
        <w:t>Longitudinale Analyse der Zusammenhänge zwischen technischer Digitalisierungsreife und finanziellen, operativen und Personalindikatoren in 70 niederländischen Krankenhäusern (2017–2023).</w:t>
      </w:r>
    </w:p>
    <w:p>
      <w:r>
        <w:rPr>
          <w:b/>
        </w:rPr>
        <w:t xml:space="preserve">Ergebnis: </w:t>
      </w:r>
      <w:r>
        <w:t>Fortgeschrittene digitale Reife war nicht signifikant mit verbesserter Profitabilität, Patientenvolumen oder Mitarbeiterfluktuation assoziiert (alle p&gt;0,05 nach Bonferroni-Korrektur); die Daten stützen das IT-Produktivitätsparadox.</w:t>
      </w:r>
    </w:p>
    <w:p>
      <w:r>
        <w:rPr>
          <w:b/>
          <w:sz w:val="19"/>
        </w:rPr>
        <w:t xml:space="preserve">Übertragbarkeit: </w:t>
      </w:r>
      <w:r>
        <w:rPr>
          <w:sz w:val="19"/>
        </w:rPr>
        <w:t>Niederlande, Sozialversicherungssystem mit Beitragsfinanzierung, vergleichbar mit Deutschland.</w:t>
      </w:r>
    </w:p>
    <w:p>
      <w:r>
        <w:rPr>
          <w:color w:val="5A7D3A"/>
          <w:sz w:val="18"/>
        </w:rPr>
        <w:t>https://pubmed.ncbi.nlm.nih.gov/42809839/</w:t>
      </w:r>
    </w:p>
    <w:p>
      <w:pPr>
        <w:pStyle w:val="Heading2"/>
      </w:pPr>
      <w:r>
        <w:t>Zeitbelastung (Time Toxicity) in der Krebsversorgung: Systematische Übersicht</w:t>
      </w:r>
    </w:p>
    <w:p>
      <w:r>
        <w:rPr>
          <w:i/>
          <w:color w:val="666666"/>
          <w:sz w:val="18"/>
        </w:rPr>
        <w:t>Wee IJY et al.  ·  Support Care Cancer  ·  29.09.2026  ·  PMID 42809115</w:t>
      </w:r>
    </w:p>
    <w:p>
      <w:r>
        <w:t>Systematische Übersicht von 56 Studien zur Definition und Messung der Zeitbelastung in der Krebsbehandlung (Inception bis März 2026).</w:t>
      </w:r>
    </w:p>
    <w:p>
      <w:r>
        <w:rPr>
          <w:b/>
        </w:rPr>
        <w:t xml:space="preserve">Ergebnis: </w:t>
      </w:r>
      <w:r>
        <w:t>Definitionen waren heterogen; 55,4 % definierten Zeitbelastung als direkte Gesundheitszeiten (Klinikbesuche, Behandlungen), 35,7 % als Zeit ohne Gesundheitswesen; nur 0 Studien nutzten Patientenperspektiven; systematisch sind noch prozessorientierte und patientenzentrierte Dimensionen unterrepräsentiert.</w:t>
      </w:r>
    </w:p>
    <w:p>
      <w:r>
        <w:rPr>
          <w:b/>
          <w:sz w:val="19"/>
        </w:rPr>
        <w:t xml:space="preserve">Übertragbarkeit: </w:t>
      </w:r>
      <w:r>
        <w:rPr>
          <w:sz w:val="19"/>
        </w:rPr>
        <w:t>Systemübergreifend relevant; Konzeptualisierung und Messqualität unabhängig von Landkontext.</w:t>
      </w:r>
    </w:p>
    <w:p>
      <w:r>
        <w:rPr>
          <w:color w:val="5A7D3A"/>
          <w:sz w:val="18"/>
        </w:rPr>
        <w:t>https://pubmed.ncbi.nlm.nih.gov/42809115/</w:t>
      </w:r>
    </w:p>
    <w:p>
      <w:pPr>
        <w:pStyle w:val="Heading2"/>
      </w:pPr>
      <w:r>
        <w:t>Kompetenzbasiertes Curriculum Allgemeinmedizin im Block-Praktikum: Lückenanalyse</w:t>
      </w:r>
    </w:p>
    <w:p>
      <w:r>
        <w:rPr>
          <w:i/>
          <w:color w:val="666666"/>
          <w:sz w:val="18"/>
        </w:rPr>
        <w:t>Schüle D et al.  ·  GMS J Med Educ  ·  15.09.2026  ·  PMID 42807621</w:t>
      </w:r>
    </w:p>
    <w:p>
      <w:r>
        <w:t>Gemischte Methoden-Studie an einem deutschen Universitätskrankenhaus zur Bewertung und Neukonzeption eines zweiwöchigen Allgemeinmedizin-Blockpraktikums anhand von NKLM 2.0 und EPAs.</w:t>
      </w:r>
    </w:p>
    <w:p>
      <w:r>
        <w:rPr>
          <w:b/>
        </w:rPr>
        <w:t xml:space="preserve">Ergebnis: </w:t>
      </w:r>
      <w:r>
        <w:t>Aktuelles Praktikum erreichte Gesamtnote 1,8 (SD 1,06), erhöhte das Interesse an Allgemeinmedizin aber nicht signifikant; fehlten: interprofessionelle Zusammenarbeit, Führungskompetenzen; vorgeschlagen wurde sechswöchiges longitudinales Modell mit Simulation und Hospitationen.</w:t>
      </w:r>
    </w:p>
    <w:p>
      <w:r>
        <w:rPr>
          <w:b/>
          <w:sz w:val="19"/>
        </w:rPr>
        <w:t xml:space="preserve">Übertragbarkeit: </w:t>
      </w:r>
      <w:r>
        <w:rPr>
          <w:sz w:val="19"/>
        </w:rPr>
        <w:t>Deutschland, Fokus auf medizinische Ausbildung und Lehrqualität.</w:t>
      </w:r>
    </w:p>
    <w:p>
      <w:r>
        <w:rPr>
          <w:color w:val="5A7D3A"/>
          <w:sz w:val="18"/>
        </w:rPr>
        <w:t>https://pubmed.ncbi.nlm.nih.gov/42807621/</w:t>
      </w:r>
    </w:p>
    <w:p>
      <w:pPr>
        <w:pStyle w:val="Heading2"/>
      </w:pPr>
      <w:r>
        <w:t>VISIONARA: Dezentrales kompetenzbasiertes Lernmodell in Hausarztpraxen</w:t>
      </w:r>
    </w:p>
    <w:p>
      <w:r>
        <w:rPr>
          <w:i/>
          <w:color w:val="666666"/>
          <w:sz w:val="18"/>
        </w:rPr>
        <w:t>Lübbert J et al.  ·  GMS J Med Educ  ·  15.09.2026  ·  PMID 42807235</w:t>
      </w:r>
    </w:p>
    <w:p>
      <w:r>
        <w:t>Konzeptentwicklung und geplante Pilotierung eines Programms für akademische Lehrpraxen (MRC-Framework), das strukturiertes kompetenzbasiertes Lernen direkt in den Versorgungsalltag der Allgemeinmedizin integriert.</w:t>
      </w:r>
    </w:p>
    <w:p>
      <w:r>
        <w:rPr>
          <w:b/>
        </w:rPr>
        <w:t xml:space="preserve">Ergebnis: </w:t>
      </w:r>
      <w:r>
        <w:t>Konzeptphase abgeschlossen; geplante Pilotphase wird Machbarkeit, Akzeptanz und Integrierbarkeit in Routinepraxen prüfen sowie personelle Ressourcen, Patientenzustimmung und logistische Hürden evaluieren.</w:t>
      </w:r>
    </w:p>
    <w:p>
      <w:r>
        <w:rPr>
          <w:b/>
          <w:sz w:val="19"/>
        </w:rPr>
        <w:t xml:space="preserve">Übertragbarkeit: </w:t>
      </w:r>
      <w:r>
        <w:rPr>
          <w:sz w:val="19"/>
        </w:rPr>
        <w:t>Deutschland, Modell für Primärversorgung und ärztliche Ausbildung direkt vor Ort.</w:t>
      </w:r>
    </w:p>
    <w:p>
      <w:r>
        <w:rPr>
          <w:color w:val="5A7D3A"/>
          <w:sz w:val="18"/>
        </w:rPr>
        <w:t>https://pubmed.ncbi.nlm.nih.gov/42807235/</w:t>
      </w:r>
    </w:p>
    <w:p>
      <w:pPr>
        <w:pStyle w:val="Heading2"/>
      </w:pPr>
      <w:r>
        <w:t>Facharztprüfung Allgemeinmedizin: Perspektiven von Prüfenden</w:t>
      </w:r>
    </w:p>
    <w:p>
      <w:r>
        <w:rPr>
          <w:i/>
          <w:color w:val="666666"/>
          <w:sz w:val="18"/>
        </w:rPr>
        <w:t>Dreher AC et al.  ·  GMS J Med Educ  ·  15.09.2026  ·  PMID 42807223</w:t>
      </w:r>
    </w:p>
    <w:p>
      <w:r>
        <w:t>Qualitative Explorationsstudie mit 12 Prüfenden aus 6 Bundesländern zu Stärken, Schwächen und Weiterentwicklungspotenzial der mündlichen Facharztprüfung.</w:t>
      </w:r>
    </w:p>
    <w:p>
      <w:r>
        <w:rPr>
          <w:b/>
        </w:rPr>
        <w:t xml:space="preserve">Ergebnis: </w:t>
      </w:r>
      <w:r>
        <w:t>Prüfende beschrieben Stärken: Mindeststandard-Sicherung, Effizienz; Schwächen: begrenzte Aussagekraft für komplexe Handlungskompetenzen; Verbesserungen: Prüfendenschulungen, gemeinsame Erwartungshorizonte, praktische Prüfungskomponenten, longitudinale Assessments.</w:t>
      </w:r>
    </w:p>
    <w:p>
      <w:r>
        <w:rPr>
          <w:b/>
          <w:sz w:val="19"/>
        </w:rPr>
        <w:t xml:space="preserve">Übertragbarkeit: </w:t>
      </w:r>
      <w:r>
        <w:rPr>
          <w:sz w:val="19"/>
        </w:rPr>
        <w:t>Deutschland, direkt auf Facharztausbildung und Qualitätssicherung bezogen.</w:t>
      </w:r>
    </w:p>
    <w:p>
      <w:r>
        <w:rPr>
          <w:color w:val="5A7D3A"/>
          <w:sz w:val="18"/>
        </w:rPr>
        <w:t>https://pubmed.ncbi.nlm.nih.gov/42807223/</w:t>
      </w:r>
    </w:p>
    <w:p>
      <w:pPr>
        <w:pStyle w:val="Heading2"/>
      </w:pPr>
      <w:r>
        <w:t>Früherkennung und Reha bei Muskelskelettstörungen reduzieren Arbeitsunfähigkeit?</w:t>
      </w:r>
    </w:p>
    <w:p>
      <w:r>
        <w:rPr>
          <w:i/>
          <w:color w:val="666666"/>
          <w:sz w:val="18"/>
        </w:rPr>
        <w:t>Bornhöft L et al.  ·  BMC Health Serv Res  ·  26.09.2026  ·  PMID 42806350</w:t>
      </w:r>
    </w:p>
    <w:p>
      <w:r>
        <w:t>Ökonomische Analyse eines randomisierten Vergleichs zwischen teambasierter Primärversorgungsrehabilitation und Standardversorgung für Patienten mit erhöhtem Fehlzeitrisiko in Schweden (N=526).</w:t>
      </w:r>
    </w:p>
    <w:p>
      <w:r>
        <w:rPr>
          <w:b/>
        </w:rPr>
        <w:t xml:space="preserve">Ergebnis: </w:t>
      </w:r>
      <w:r>
        <w:t>Team-Rehabilitation und Standardversorgung führten zu ähnlichen QALYs über ein Jahr; die Wahrscheinlichkeit der Kosteneffektivität lag bei etwa 50 % (schwedische Schwellenwerte 43.000–86.000 €/QALY); Selektion bedürftiger Patienten muss verbessert werden.</w:t>
      </w:r>
    </w:p>
    <w:p>
      <w:r>
        <w:rPr>
          <w:b/>
          <w:sz w:val="19"/>
        </w:rPr>
        <w:t xml:space="preserve">Übertragbarkeit: </w:t>
      </w:r>
      <w:r>
        <w:rPr>
          <w:sz w:val="19"/>
        </w:rPr>
        <w:t>Schweden, steuerfinanziert und hausarztgesteuert, aber Prozesse und Arbeitsfähigkeit sind übertragbar.</w:t>
      </w:r>
    </w:p>
    <w:p>
      <w:r>
        <w:rPr>
          <w:color w:val="5A7D3A"/>
          <w:sz w:val="18"/>
        </w:rPr>
        <w:t>https://pubmed.ncbi.nlm.nih.gov/42806350/</w:t>
      </w:r>
    </w:p>
    <w:p>
      <w:pPr>
        <w:pStyle w:val="Heading1"/>
      </w:pPr>
      <w:r>
        <w:t>Aufgenommen am 29.09.2026</w:t>
      </w:r>
    </w:p>
    <w:p>
      <w:pPr>
        <w:pStyle w:val="Heading2"/>
      </w:pPr>
      <w:r>
        <w:t>Kosteneffektivität eines Diabetes-Präventionsprogramms in Kanada</w:t>
      </w:r>
    </w:p>
    <w:p>
      <w:r>
        <w:rPr>
          <w:i/>
          <w:color w:val="666666"/>
          <w:sz w:val="18"/>
        </w:rPr>
        <w:t>Gupta N et al.  ·  CMAJ  ·  27.09.2026  ·  PMID 42805627</w:t>
      </w:r>
    </w:p>
    <w:p>
      <w:r>
        <w:t>Gesundheitsökonomisches Modell zum NHS-England-DPP in Quebec und Ontario über 35 Jahre.</w:t>
      </w:r>
    </w:p>
    <w:p>
      <w:r>
        <w:rPr>
          <w:b/>
        </w:rPr>
        <w:t xml:space="preserve">Ergebnis: </w:t>
      </w:r>
      <w:r>
        <w:t>DPP sparte 244 CAD pro Teilnehmer in Quebec und 242 CAD in Ontario (95% UI -1.017 bis 408). Gewinn: 0,060 QALYs pro Person (95% UI 0,024-0,094). In 74,8% der Simulationen war DPP kostengünstiger und wirksamer.</w:t>
      </w:r>
    </w:p>
    <w:p>
      <w:r>
        <w:rPr>
          <w:b/>
          <w:sz w:val="19"/>
        </w:rPr>
        <w:t xml:space="preserve">Übertragbarkeit: </w:t>
      </w:r>
      <w:r>
        <w:rPr>
          <w:sz w:val="19"/>
        </w:rPr>
        <w:t>Kanada ähnlich deutschem Sozialversicherungssystem, vergleichbare Kostenkalkulation möglich.</w:t>
      </w:r>
    </w:p>
    <w:p>
      <w:r>
        <w:rPr>
          <w:color w:val="5A7D3A"/>
          <w:sz w:val="18"/>
        </w:rPr>
        <w:t>https://pubmed.ncbi.nlm.nih.gov/42805627/</w:t>
      </w:r>
    </w:p>
    <w:p>
      <w:pPr>
        <w:pStyle w:val="Heading2"/>
      </w:pPr>
      <w:r>
        <w:t>Physiotherapie nach COVID-19 in der niederländischen Primärversorgung: Inanspruchnahme und Trends</w:t>
      </w:r>
    </w:p>
    <w:p>
      <w:r>
        <w:rPr>
          <w:i/>
          <w:color w:val="666666"/>
          <w:sz w:val="18"/>
        </w:rPr>
        <w:t>Veldkamp R et al.  ·  JMIR Public Health Surveill  ·  28.09.2026  ·  PMID 42804191</w:t>
      </w:r>
    </w:p>
    <w:p>
      <w:r>
        <w:t>Retrospektive Kohortenstudie zur Inanspruchnahme von Physiotherapie nach COVID-19 in niederländischen Hausarztpraxen über 2,5 Jahre der Pandemie.</w:t>
      </w:r>
    </w:p>
    <w:p>
      <w:r>
        <w:rPr>
          <w:b/>
        </w:rPr>
        <w:t xml:space="preserve">Ergebnis: </w:t>
      </w:r>
      <w:r>
        <w:t>Unter 71.152 Behandlungsverläufen hatten abgeschlossene Fälle eine mediane Dauer von 24 Wochen mit 28 Konsultationen. Die Physiotherapie-Inanspruchnahme sank signifikant über die Zeit (p&lt;0,001), mit maximalen Konsultationen bei 60-79-Jährigen und 1,5 Wochen längerer Behandlung bei Frauen (p&lt;0,001). In 83% waren Baseline-Werte auf Outcome-Messungen erfasst (6-Minuten-Gehtest: 420 m [340-490]).</w:t>
      </w:r>
    </w:p>
    <w:p>
      <w:r>
        <w:rPr>
          <w:b/>
          <w:sz w:val="19"/>
        </w:rPr>
        <w:t xml:space="preserve">Übertragbarkeit: </w:t>
      </w:r>
      <w:r>
        <w:rPr>
          <w:sz w:val="19"/>
        </w:rPr>
        <w:t>Niederländische Routinedaten aus Primärversorgung, direkt auf deutsches System übertragbar.</w:t>
      </w:r>
    </w:p>
    <w:p>
      <w:r>
        <w:rPr>
          <w:color w:val="5A7D3A"/>
          <w:sz w:val="18"/>
        </w:rPr>
        <w:t>https://pubmed.ncbi.nlm.nih.gov/42804191/</w:t>
      </w:r>
    </w:p>
    <w:p>
      <w:pPr>
        <w:pStyle w:val="Heading2"/>
      </w:pPr>
      <w:r>
        <w:t>Telepharmacy-Services und Notfallaufnahme-Inanspruchnahme: Systematische Übersicht</w:t>
      </w:r>
    </w:p>
    <w:p>
      <w:r>
        <w:rPr>
          <w:i/>
          <w:color w:val="666666"/>
          <w:sz w:val="18"/>
        </w:rPr>
        <w:t>Barwick AL et al.  ·  J Telemed Telecare  ·  28.09.2026  ·  PMID 42804181</w:t>
      </w:r>
    </w:p>
    <w:p>
      <w:r>
        <w:t>Metaanalyse von 17 RCTs zur Wirksamkeit von Telepharmacy-Interventionen auf Notaufnahme-Besuche und Wiederaufnahmen.</w:t>
      </w:r>
    </w:p>
    <w:p>
      <w:r>
        <w:rPr>
          <w:b/>
        </w:rPr>
        <w:t xml:space="preserve">Ergebnis: </w:t>
      </w:r>
      <w:r>
        <w:t>Telepharmacy war mit einer 6% absoluten Reduktion von 30-Tage-Notaufnahme-Besuchen assoziiert (Risikodifferenz=0,06, 95% CI: 0,02-0,10; p=0,005). Keine signifikante Reduktion bei ungeplanten Wiederaufnahmen.</w:t>
      </w:r>
    </w:p>
    <w:p>
      <w:r>
        <w:rPr>
          <w:b/>
          <w:sz w:val="19"/>
        </w:rPr>
        <w:t xml:space="preserve">Übertragbarkeit: </w:t>
      </w:r>
      <w:r>
        <w:rPr>
          <w:sz w:val="19"/>
        </w:rPr>
        <w:t>Heterogene RCTs international, Fragestellung zum Einsatz von Telemedizin systemunabhängig relevant.</w:t>
      </w:r>
    </w:p>
    <w:p>
      <w:r>
        <w:rPr>
          <w:color w:val="5A7D3A"/>
          <w:sz w:val="18"/>
        </w:rPr>
        <w:t>https://pubmed.ncbi.nlm.nih.gov/42804181/</w:t>
      </w:r>
    </w:p>
    <w:p>
      <w:pPr>
        <w:pStyle w:val="Heading2"/>
      </w:pPr>
      <w:r>
        <w:t>Intra-Session-Reliabilität des Imagined Timed Up and Go Tests bei älteren Erwachsenen</w:t>
      </w:r>
    </w:p>
    <w:p>
      <w:r>
        <w:rPr>
          <w:i/>
          <w:color w:val="666666"/>
          <w:sz w:val="18"/>
        </w:rPr>
        <w:t>Inamura T et al.  ·  Physiother Theory Pract  ·  28.09.2026  ·  PMID 42802900</w:t>
      </w:r>
    </w:p>
    <w:p>
      <w:r>
        <w:t>Reliabilitätsstudie (85 Probanden) zum Imagined Timed Up and Go Test zur Erfassung von Schätzfehlern der physischen Leistung.</w:t>
      </w:r>
    </w:p>
    <w:p>
      <w:r>
        <w:rPr>
          <w:b/>
        </w:rPr>
        <w:t xml:space="preserve">Ergebnis: </w:t>
      </w:r>
      <w:r>
        <w:t>Intra-Rater-Reliabilität moderat (ICC_A,1: 0,69-0,73); simultane Inter-Rater-Reliabilität exzellent (ICC_2,2≈0,994; ICC_2,1: 0,982-0,984). Intra-Rater MDC95: 2,3 s (35,1%); Inter-Rater MDC95: 0,3 s (4,9%). Probanden übersch ätzen ihre Fähigkeiten (TUG 6,0 s vs. ITUG 4,0 s).</w:t>
      </w:r>
    </w:p>
    <w:p>
      <w:r>
        <w:rPr>
          <w:b/>
          <w:sz w:val="19"/>
        </w:rPr>
        <w:t xml:space="preserve">Übertragbarkeit: </w:t>
      </w:r>
      <w:r>
        <w:rPr>
          <w:sz w:val="19"/>
        </w:rPr>
        <w:t>Japanische Daten, klinische Metriken systemunabhängig, Validierung vor Routineeinsatz relevant.</w:t>
      </w:r>
    </w:p>
    <w:p>
      <w:r>
        <w:rPr>
          <w:color w:val="5A7D3A"/>
          <w:sz w:val="18"/>
        </w:rPr>
        <w:t>https://pubmed.ncbi.nlm.nih.gov/42802900/</w:t>
      </w:r>
    </w:p>
    <w:p>
      <w:pPr>
        <w:pStyle w:val="Heading2"/>
      </w:pPr>
      <w:r>
        <w:t>Krankenhaus-Management-Modelle und Krebsergebnisse in São Paulo</w:t>
      </w:r>
    </w:p>
    <w:p>
      <w:r>
        <w:rPr>
          <w:i/>
          <w:color w:val="666666"/>
          <w:sz w:val="18"/>
        </w:rPr>
        <w:t>Delpino FM et al.  ·  Int J Health Plann Manage  ·  26.09.2026  ·  PMID 42800063</w:t>
      </w:r>
    </w:p>
    <w:p>
      <w:r>
        <w:t>Staggered Difference-in-Differences-Analyse zu 652.734 Brust-, Prostata- und Darmkrebs-Fällen (2000-2023) unter Vergleich von Social Health Organisations vs. direkt verwalteten Häusern.</w:t>
      </w:r>
    </w:p>
    <w:p>
      <w:r>
        <w:rPr>
          <w:b/>
        </w:rPr>
        <w:t xml:space="preserve">Ergebnis: </w:t>
      </w:r>
      <w:r>
        <w:t>SHO-Adoption assoziiert mit unpräzisen Änderungen: Diagnose-bis-Behandlung -155,3 Tage (95% CI -350,0 bis 39,4); Konsultation-bis-Diagnose -96,3 Tage (95% CI -237,7 bis 45,1); 30-Tage-Mortalität +0,8 Prozentpunkte (95% CI -4,0 bis 5,5). Kontrolle und Gewichtung materialverändernd.</w:t>
      </w:r>
    </w:p>
    <w:p>
      <w:r>
        <w:rPr>
          <w:b/>
          <w:sz w:val="19"/>
        </w:rPr>
        <w:t xml:space="preserve">Übertragbarkeit: </w:t>
      </w:r>
      <w:r>
        <w:rPr>
          <w:sz w:val="19"/>
        </w:rPr>
        <w:t>Brasilien, unterschiedliches Ressourcen-Setting; Fragestellung zu Managementmodellen kontextabhängig.</w:t>
      </w:r>
    </w:p>
    <w:p>
      <w:r>
        <w:rPr>
          <w:color w:val="5A7D3A"/>
          <w:sz w:val="18"/>
        </w:rPr>
        <w:t>https://pubmed.ncbi.nlm.nih.gov/42800063/</w:t>
      </w:r>
    </w:p>
    <w:p>
      <w:pPr>
        <w:pStyle w:val="Heading1"/>
      </w:pPr>
      <w:r>
        <w:t>Aufgenommen am 28.09.2026</w:t>
      </w:r>
    </w:p>
    <w:p>
      <w:pPr>
        <w:pStyle w:val="Heading2"/>
      </w:pPr>
      <w:r>
        <w:t>Wirksamkeit familienorientierter Intervention für Kinder psychisch erkrankter Eltern</w:t>
      </w:r>
    </w:p>
    <w:p>
      <w:r>
        <w:rPr>
          <w:i/>
          <w:color w:val="666666"/>
          <w:sz w:val="18"/>
        </w:rPr>
        <w:t>Paumen T et al.  ·  Child Adolesc Psychiatry Ment Health  ·  25.09.2026  ·  PMID 42800877</w:t>
      </w:r>
    </w:p>
    <w:p>
      <w:r>
        <w:t>Cluster-randomisierte Studie zur Wirksamkeit des CHIMPS-Programms (psychodynamische transdiagnostische Familienintervention) auf psychische Gesundheit und Lebensqualität bei 215 Kindern psychisch erkrankter Eltern in Deutschland und der Schweiz.</w:t>
      </w:r>
    </w:p>
    <w:p>
      <w:r>
        <w:rPr>
          <w:b/>
        </w:rPr>
        <w:t xml:space="preserve">Ergebnis: </w:t>
      </w:r>
      <w:r>
        <w:t>Odds Ratio 0,52 (95%-KI: 0,25-1,09) für diagnostische Remission in der Interventionsgruppe versus Kontrollgruppe – statistisch nicht signifikant. Keine klinisch relevanten Unterschiede in Sekundäroutcomes (Verhaltensauffälligkeiten, Lebensqualität). Geringe Erreichbarkeit und Adhärenz der Zielgruppe erschwerten Umsetzung.</w:t>
      </w:r>
    </w:p>
    <w:p>
      <w:r>
        <w:rPr>
          <w:b/>
          <w:sz w:val="19"/>
        </w:rPr>
        <w:t xml:space="preserve">Übertragbarkeit: </w:t>
      </w:r>
      <w:r>
        <w:rPr>
          <w:sz w:val="19"/>
        </w:rPr>
        <w:t>Deutsche Daten aus Universitätskliniken, gesetzlich versicherte Population</w:t>
      </w:r>
    </w:p>
    <w:p>
      <w:r>
        <w:rPr>
          <w:color w:val="5A7D3A"/>
          <w:sz w:val="18"/>
        </w:rPr>
        <w:t>https://pubmed.ncbi.nlm.nih.gov/42800877/</w:t>
      </w:r>
    </w:p>
    <w:p>
      <w:pPr>
        <w:pStyle w:val="Heading2"/>
      </w:pPr>
      <w:r>
        <w:t>Tamil-Validierung des Diabetes Quality-of-Life Brief Clinical Inventory</w:t>
      </w:r>
    </w:p>
    <w:p>
      <w:r>
        <w:rPr>
          <w:i/>
          <w:color w:val="666666"/>
          <w:sz w:val="18"/>
        </w:rPr>
        <w:t>Darshana N et al.  ·  BMC Health Serv Res  ·  14.09.2026  ·  PMID 42791544</w:t>
      </w:r>
    </w:p>
    <w:p>
      <w:r>
        <w:t>Kulturelle Adaptation und Validierung eines Instruments zur Messung der diabetesspezifischen Lebensqualität bei tamilsprachigen Erwachsenen mit Typ-2-Diabetes in Sri Lanka (n=165).</w:t>
      </w:r>
    </w:p>
    <w:p>
      <w:r>
        <w:rPr>
          <w:b/>
        </w:rPr>
        <w:t xml:space="preserve">Ergebnis: </w:t>
      </w:r>
      <w:r>
        <w:t>Cronbachs α=0,682, signifikante negative Korrelation mit WHOQOL-BREF (r=-0,559, p&lt;0,001), signifikant niedrigere Lebensqualität bei Patienten mit Mikrovaskularisierungskomplikationen (p=0,040). KMO=0,729, Faktorenanalyse erklärt 72% der Gesamtvarianz.</w:t>
      </w:r>
    </w:p>
    <w:p>
      <w:r>
        <w:rPr>
          <w:b/>
          <w:sz w:val="19"/>
        </w:rPr>
        <w:t xml:space="preserve">Übertragbarkeit: </w:t>
      </w:r>
      <w:r>
        <w:rPr>
          <w:sz w:val="19"/>
        </w:rPr>
        <w:t>Nur begrenzt: Südasiatische Bevölkerung, anderes Gesundheitssystem</w:t>
      </w:r>
    </w:p>
    <w:p>
      <w:r>
        <w:rPr>
          <w:color w:val="5A7D3A"/>
          <w:sz w:val="18"/>
        </w:rPr>
        <w:t>https://pubmed.ncbi.nlm.nih.gov/42791544/</w:t>
      </w:r>
    </w:p>
    <w:p>
      <w:pPr>
        <w:pStyle w:val="Heading2"/>
      </w:pPr>
      <w:r>
        <w:t>Gesundheitskompetenz und Versorgungsintegration bei Kindern mit Spezialversorgungsbedarfen</w:t>
      </w:r>
    </w:p>
    <w:p>
      <w:r>
        <w:rPr>
          <w:i/>
          <w:color w:val="666666"/>
          <w:sz w:val="18"/>
        </w:rPr>
        <w:t>Skoss R et al.  ·  BMC Health Serv Res  ·  11.08.2026  ·  PMID 42791541</w:t>
      </w:r>
    </w:p>
    <w:p>
      <w:r>
        <w:t>Querschnittstudie zur Beziehung zwischen Gesundheitskompetenz von Eltern, Erfahrungen mit Versorgungsintegration und Elternbelastung bei 126 australischen Eltern von Kindern mit Spezialversorgungsbedarfen.</w:t>
      </w:r>
    </w:p>
    <w:p>
      <w:r>
        <w:rPr>
          <w:b/>
        </w:rPr>
        <w:t xml:space="preserve">Ergebnis: </w:t>
      </w:r>
      <w:r>
        <w:t>Clusteranalyse identifizierte drei Gesundheitskompetenz-Profile; höhere Kompetenz assoziiert mit besseren Erfahrungen bei Versorgungsintegration und niedrigerem Elternstress. Mehrheitlich Eltern mit Behinderungs-(53,7%) und Atemwegserkrankungen (38,9%) vertreten.</w:t>
      </w:r>
    </w:p>
    <w:p>
      <w:r>
        <w:rPr>
          <w:b/>
          <w:sz w:val="19"/>
        </w:rPr>
        <w:t xml:space="preserve">Übertragbarkeit: </w:t>
      </w:r>
      <w:r>
        <w:rPr>
          <w:sz w:val="19"/>
        </w:rPr>
        <w:t>Steuerfinanziert, englischsprachig – begrenzte Übertragbarkeit auf deutsches SV-System</w:t>
      </w:r>
    </w:p>
    <w:p>
      <w:r>
        <w:rPr>
          <w:color w:val="5A7D3A"/>
          <w:sz w:val="18"/>
        </w:rPr>
        <w:t>https://pubmed.ncbi.nlm.nih.gov/42791541/</w:t>
      </w:r>
    </w:p>
    <w:p>
      <w:pPr>
        <w:pStyle w:val="Heading2"/>
      </w:pPr>
      <w:r>
        <w:t>Zivilgesellschaftliche Organisationen in Gesundheitsversorgung für Migranten auf der Balkanroute</w:t>
      </w:r>
    </w:p>
    <w:p>
      <w:r>
        <w:rPr>
          <w:i/>
          <w:color w:val="666666"/>
          <w:sz w:val="18"/>
        </w:rPr>
        <w:t>Link F et al.  ·  Int J Equity Health  ·  24.09.2026  ·  PMID 42791536</w:t>
      </w:r>
    </w:p>
    <w:p>
      <w:r>
        <w:t>Qualitative Studie mit 15 CSO-Mitarbeitern aus 11 Ländern (März–Mai 2024) zu Barrieren, Erleichterungen und Rollen von Zivilgesellschaft bei Gesundheitsversorgung für Menschen in Migrationsprozessen.</w:t>
      </w:r>
    </w:p>
    <w:p>
      <w:r>
        <w:rPr>
          <w:b/>
        </w:rPr>
        <w:t xml:space="preserve">Ergebnis: </w:t>
      </w:r>
      <w:r>
        <w:t>Vier Hauptkategorien identifiziert: fragmentierte Migrationspolitik, begrenzte Systemkapazitäten, Diskriminierung und Rechtsbarrieren. CSO erfüllen kritische Lückenfüllungsfunktion durch Mediation und Advocacy; jedoch chronische Finanzierungsunsicherheit, Personalengpässe und ethische Spannungen. Vertrauen zwischen CSO, Gesundheitssystem und Behörden essentiell.</w:t>
      </w:r>
    </w:p>
    <w:p>
      <w:r>
        <w:rPr>
          <w:b/>
          <w:sz w:val="19"/>
        </w:rPr>
        <w:t xml:space="preserve">Übertragbarkeit: </w:t>
      </w:r>
      <w:r>
        <w:rPr>
          <w:sz w:val="19"/>
        </w:rPr>
        <w:t>Europäischer Kontext (11 Länder), Mehrländer-Perspektive – Migrationsstrukturen relevant</w:t>
      </w:r>
    </w:p>
    <w:p>
      <w:r>
        <w:rPr>
          <w:color w:val="5A7D3A"/>
          <w:sz w:val="18"/>
        </w:rPr>
        <w:t>https://pubmed.ncbi.nlm.nih.gov/42791536/</w:t>
      </w:r>
    </w:p>
    <w:p>
      <w:pPr>
        <w:pStyle w:val="Heading2"/>
      </w:pPr>
      <w:r>
        <w:t>Präklinische Halswirbelimmobilisierung und Mortalität bei Traumapatienten</w:t>
      </w:r>
    </w:p>
    <w:p>
      <w:r>
        <w:rPr>
          <w:i/>
          <w:color w:val="666666"/>
          <w:sz w:val="18"/>
        </w:rPr>
        <w:t>Häske D et al.  ·  World J Emerg Surg  ·  22.09.2026  ·  PMID 42786484</w:t>
      </w:r>
    </w:p>
    <w:p>
      <w:r>
        <w:t>Retrospektive Beobachtungsstudie aus deutschem Traumaregister (TraumaRegister DGU, 2020–2022) mit Propensity-Score-Matching zu Effekt präklinischer Halswirbelimmobilisierung auf Krankenhausmortalität und neurologische Outcomes (n=31.055, davon 16.922 gematched).</w:t>
      </w:r>
    </w:p>
    <w:p>
      <w:r>
        <w:rPr>
          <w:b/>
        </w:rPr>
        <w:t xml:space="preserve">Ergebnis: </w:t>
      </w:r>
      <w:r>
        <w:t>Mortalität gematched: 12,0% mit Immobilisierung vs. 13,6% ohne (p=0,001), kein klinisch bedeutsamer Unterschied. Bei bestätigter Halswirbelverletztung (n=1.362): Mortalität 17,9% vs. 18,2% (p=0,888), Glasgow Outcome Scale zeigt kein signifikanten Unterschied. GCS-Verbesserung Einsatzstelle-Hospital marginal höher mit Immobilisierung (15,7% vs. 12,8%, p&lt;0,001).</w:t>
      </w:r>
    </w:p>
    <w:p>
      <w:r>
        <w:rPr>
          <w:b/>
          <w:sz w:val="19"/>
        </w:rPr>
        <w:t xml:space="preserve">Übertragbarkeit: </w:t>
      </w:r>
      <w:r>
        <w:rPr>
          <w:sz w:val="19"/>
        </w:rPr>
        <w:t>Deutsche Routinedaten aus standardisiertem Traumaregister, System vergleichbar</w:t>
      </w:r>
    </w:p>
    <w:p>
      <w:r>
        <w:rPr>
          <w:color w:val="5A7D3A"/>
          <w:sz w:val="18"/>
        </w:rPr>
        <w:t>https://pubmed.ncbi.nlm.nih.gov/42786484/</w:t>
      </w:r>
    </w:p>
    <w:p>
      <w:pPr>
        <w:pStyle w:val="Heading2"/>
      </w:pPr>
      <w:r>
        <w:t>Empagliflozin-Effekte auf kardiovaskuläre Outcomes in sociodemografischen Subgruppen</w:t>
      </w:r>
    </w:p>
    <w:p>
      <w:r>
        <w:rPr>
          <w:i/>
          <w:color w:val="666666"/>
          <w:sz w:val="18"/>
        </w:rPr>
        <w:t>Cromer SJ et al.  ·  Diabetes Care  ·  21.09.2026  ·  PMID 42765974</w:t>
      </w:r>
    </w:p>
    <w:p>
      <w:r>
        <w:t>Real-World-Analyse aus US-Medicare-Daten (2014–2020) zur Heterogenität der Effekte von Empagliflozin auf MACE, Herzinsuffizienz-Hospitalisierung und Mortalität bei älteren Erwachsenen mit Typ-2-Diabetes (n propensity-matched: 16.922).</w:t>
      </w:r>
    </w:p>
    <w:p>
      <w:r>
        <w:rPr>
          <w:b/>
        </w:rPr>
        <w:t xml:space="preserve">Ergebnis: </w:t>
      </w:r>
      <w:r>
        <w:t>Empagliflozin vs. DPP4-Inhibitoren: MACE HR 0,77 (99,9%-KI 0,69–0,85, IRD –10,3), HHF HR 0,72 (0,67–0,79, IRD –18,3), Mortalität HR 0,66 (0,57–0,76, IRD –8,6). Konsistente Effekte über sociodemografische Gruppen, höherer absoluter Nutzen mit prävalenter kardiovaskulärer Erkrankung.</w:t>
      </w:r>
    </w:p>
    <w:p>
      <w:r>
        <w:rPr>
          <w:b/>
          <w:sz w:val="19"/>
        </w:rPr>
        <w:t xml:space="preserve">Übertragbarkeit: </w:t>
      </w:r>
      <w:r>
        <w:rPr>
          <w:sz w:val="19"/>
        </w:rPr>
        <w:t>US-Daten – Fragestellung aber systemunabhängig, kardiometabolisch relevant</w:t>
      </w:r>
    </w:p>
    <w:p>
      <w:r>
        <w:rPr>
          <w:color w:val="5A7D3A"/>
          <w:sz w:val="18"/>
        </w:rPr>
        <w:t>https://pubmed.ncbi.nlm.nih.gov/42765974/</w:t>
      </w:r>
    </w:p>
    <w:p>
      <w:pPr>
        <w:pStyle w:val="Heading1"/>
      </w:pPr>
      <w:r>
        <w:t>Aufgenommen am 27.09.2026</w:t>
      </w:r>
    </w:p>
    <w:p>
      <w:pPr>
        <w:pStyle w:val="Heading2"/>
      </w:pPr>
      <w:r>
        <w:t>Geschlechtsspezifische Depressionsdiagnostik: Validierung des DESY-PC in der Primärversorgung</w:t>
      </w:r>
    </w:p>
    <w:p>
      <w:r>
        <w:rPr>
          <w:i/>
          <w:color w:val="666666"/>
          <w:sz w:val="18"/>
        </w:rPr>
        <w:t>Schäffler L et al.  ·  Eur Arch Psychiatry Clin Neurosci  ·  26.09.2026  ·  PMID 42799905</w:t>
      </w:r>
    </w:p>
    <w:p>
      <w:r>
        <w:t>Sekundäranalyse einer diagnostischen Querschnittsstudie mit 431 Primärversorgungspatienten (61% Frauen) zur Testgüte des neuen DESY-PC-Fragebogens versus PHQ-9 mit strukturiertem klinischem Interview als Goldstandard.</w:t>
      </w:r>
    </w:p>
    <w:p>
      <w:r>
        <w:rPr>
          <w:b/>
        </w:rPr>
        <w:t xml:space="preserve">Ergebnis: </w:t>
      </w:r>
      <w:r>
        <w:t>DESY-PC zeigte vergleichbare diagnostische Genauigkeit bei Frauen (AUC 0,85, 95% CI 0,80-0,91) und Männern (AUC 0,90, 95% CI 0,83-0,97, p=0,340). Sensitivität und Spezifität waren ausgeglichen (Cut-off 16: Sensitivität Frauen 74%, Männer 83%, p=0,422; Spezifität Frauen 82%, Männer 87%, p=0,220). Messinvarianz über Geschlechter bestätigt.</w:t>
      </w:r>
    </w:p>
    <w:p>
      <w:r>
        <w:rPr>
          <w:b/>
          <w:sz w:val="19"/>
        </w:rPr>
        <w:t xml:space="preserve">Übertragbarkeit: </w:t>
      </w:r>
      <w:r>
        <w:rPr>
          <w:sz w:val="19"/>
        </w:rPr>
        <w:t>Deutsche Akademische Primärversorgungspraxis in München; Screening-Instrument systemunabhängig</w:t>
      </w:r>
    </w:p>
    <w:p>
      <w:r>
        <w:rPr>
          <w:color w:val="5A7D3A"/>
          <w:sz w:val="18"/>
        </w:rPr>
        <w:t>https://pubmed.ncbi.nlm.nih.gov/42799905/</w:t>
      </w:r>
    </w:p>
    <w:p>
      <w:pPr>
        <w:pStyle w:val="Heading2"/>
      </w:pPr>
      <w:r>
        <w:t>Psychische Gesundheitsdiagnosen bei Kindern und Jugendlichen vor und während COVID-19 in Niedersachsen</w:t>
      </w:r>
    </w:p>
    <w:p>
      <w:r>
        <w:rPr>
          <w:i/>
          <w:color w:val="666666"/>
          <w:sz w:val="18"/>
        </w:rPr>
        <w:t>Jobski K et al.  ·  Children (Basel)  ·  14.09.2026  ·  PMID 42794265</w:t>
      </w:r>
    </w:p>
    <w:p>
      <w:r>
        <w:t>Trends-Analyse mit Routinedaten der AOK Niedersachsen 2018-2022 bei etwa 500.000 Versicherten unter 18 Jahren zur Inzidenz und Prävalenz von Angststörungen, depressiven Störungen, Essstörungen und ADHS.</w:t>
      </w:r>
    </w:p>
    <w:p>
      <w:r>
        <w:rPr>
          <w:b/>
        </w:rPr>
        <w:t xml:space="preserve">Ergebnis: </w:t>
      </w:r>
      <w:r>
        <w:t>2021 höchste Inzidenz für Angststörungen (34,7/1.000), gefolgt von ADHS (18,0/1.000), Depression (13,7/1.000) und Essstörungen (2,7/1.000). Vergleich 2019 zu 2021: Inzidenzen stiegen alle, besonders bei Mädchen 15-17 Jahre (Angst +23%, Depression +25%, ADHS +54%, Essstörungen +90%). 2022 Rückgang, aber Prävalenz bei Mädchen nicht auf Vor-Pandemie-Niveau.</w:t>
      </w:r>
    </w:p>
    <w:p>
      <w:r>
        <w:rPr>
          <w:b/>
          <w:sz w:val="19"/>
        </w:rPr>
        <w:t xml:space="preserve">Übertragbarkeit: </w:t>
      </w:r>
      <w:r>
        <w:rPr>
          <w:sz w:val="19"/>
        </w:rPr>
        <w:t>Deutsche Routinedaten, gesetzlich versicherte Kinder und Jugendliche Niedersachsen</w:t>
      </w:r>
    </w:p>
    <w:p>
      <w:r>
        <w:rPr>
          <w:color w:val="5A7D3A"/>
          <w:sz w:val="18"/>
        </w:rPr>
        <w:t>https://pubmed.ncbi.nlm.nih.gov/42794265/</w:t>
      </w:r>
    </w:p>
    <w:p>
      <w:pPr>
        <w:pStyle w:val="Heading2"/>
      </w:pPr>
      <w:r>
        <w:t>Schlaganfallzertifizierung und Prozessqualität in der akuten ischämischen Schlaganfallbehandlung</w:t>
      </w:r>
    </w:p>
    <w:p>
      <w:r>
        <w:rPr>
          <w:i/>
          <w:color w:val="666666"/>
          <w:sz w:val="18"/>
        </w:rPr>
        <w:t>Boehl M et al.  ·  Neurol Res Pract  ·  25.09.2026  ·  PMID 42791587</w:t>
      </w:r>
    </w:p>
    <w:p>
      <w:r>
        <w:t>Retrospektive Registeranalyse zur Assoziation zwischen Schlaganfalleinheitszertifizierung und Qualitätsindikatoren der intravenösen Thrombolyse in Hessen 2021-2024.</w:t>
      </w:r>
    </w:p>
    <w:p>
      <w:r>
        <w:rPr>
          <w:b/>
        </w:rPr>
        <w:t xml:space="preserve">Ergebnis: </w:t>
      </w:r>
      <w:r>
        <w:t>Zertifizierte Schlaganfalleinheiten führten signifikant häufiger Thrombolyse durch (primär 4,5 h: OR 2,32, 95% CI 1,65-3,27 für pSU; OR 2,19, 95% CI 1,57-3,07 für cSU). Door-to-needle ≤60 min wurden häufiger erreicht (pSU OR 3,13, 95% CI 2,13-4,61; cSU OR 2,60, 95% CI 1,80-3,75). Zertifizierung ist mit besseren Prozessqualitätsindikatoren assoziiert.</w:t>
      </w:r>
    </w:p>
    <w:p>
      <w:r>
        <w:rPr>
          <w:b/>
          <w:sz w:val="19"/>
        </w:rPr>
        <w:t xml:space="preserve">Übertragbarkeit: </w:t>
      </w:r>
      <w:r>
        <w:rPr>
          <w:sz w:val="19"/>
        </w:rPr>
        <w:t>Deutsche Routinedaten aus Hessen, gesetzlich versicherte Schlaganfallpatienten</w:t>
      </w:r>
    </w:p>
    <w:p>
      <w:r>
        <w:rPr>
          <w:color w:val="5A7D3A"/>
          <w:sz w:val="18"/>
        </w:rPr>
        <w:t>https://pubmed.ncbi.nlm.nih.gov/42791587/</w:t>
      </w:r>
    </w:p>
    <w:p>
      <w:pPr>
        <w:pStyle w:val="Heading2"/>
      </w:pPr>
      <w:r>
        <w:t>Patient-reported Experience und psychische Gesundheit: Unterschiede zwischen Immigrant*innen und norwegischer Bevölkerung in der Psychiatrie</w:t>
      </w:r>
    </w:p>
    <w:p>
      <w:r>
        <w:rPr>
          <w:i/>
          <w:color w:val="666666"/>
          <w:sz w:val="18"/>
        </w:rPr>
        <w:t>Ellingsen-Dalskau LH et al.  ·  BMC Health Serv Res  ·  12.09.2026  ·  PMID 42791573</w:t>
      </w:r>
    </w:p>
    <w:p>
      <w:r>
        <w:t>Nationale Befragung (2020-2022) von 8.184 Patienten in norwegischen psychiatrischen Stationen mit gemischten Methoden zu Unterschieden in Patientenerfahrung und Zwangsmaßnahmen zwischen Immigrant*innen und Mehrheitsbevölkerung.</w:t>
      </w:r>
    </w:p>
    <w:p>
      <w:r>
        <w:rPr>
          <w:b/>
        </w:rPr>
        <w:t xml:space="preserve">Ergebnis: </w:t>
      </w:r>
      <w:r>
        <w:t>Einige Immigrant*innengruppen berichteten höhere Zwangsanwendung und geringere Verbesserung der psychischen Gesundheit; qualitative Analyse zeigte unterschiedliche Erwartungen, Vertrauen, Kommunikation und Informationszugang als Einflussfaktoren. Insgesamt ähnliche Erfahrungswerte, aber kontextabhängige Unterschiede.</w:t>
      </w:r>
    </w:p>
    <w:p>
      <w:r>
        <w:rPr>
          <w:b/>
          <w:sz w:val="19"/>
        </w:rPr>
        <w:t xml:space="preserve">Übertragbarkeit: </w:t>
      </w:r>
      <w:r>
        <w:rPr>
          <w:sz w:val="19"/>
        </w:rPr>
        <w:t>Norwegen, Skandinavien mit ähnlichem Sozialversicherungssystem; Patientenperspektive übertragbar</w:t>
      </w:r>
    </w:p>
    <w:p>
      <w:r>
        <w:rPr>
          <w:color w:val="5A7D3A"/>
          <w:sz w:val="18"/>
        </w:rPr>
        <w:t>https://pubmed.ncbi.nlm.nih.gov/42791573/</w:t>
      </w:r>
    </w:p>
    <w:p>
      <w:pPr>
        <w:pStyle w:val="Heading2"/>
      </w:pPr>
      <w:r>
        <w:t>Bedeutung von Präsenzberatung in TIA-Kliniken aus Patienten- und Fachperspektive</w:t>
      </w:r>
    </w:p>
    <w:p>
      <w:r>
        <w:rPr>
          <w:i/>
          <w:color w:val="666666"/>
          <w:sz w:val="18"/>
        </w:rPr>
        <w:t>Heath J et al.  ·  BMC Health Serv Res  ·  14.09.2026  ·  PMID 42791572</w:t>
      </w:r>
    </w:p>
    <w:p>
      <w:r>
        <w:t>Qualitative Interviews mit 15 Patienten und 12 Fachpersonen in England zur Evaluation von virtuellen versus Face-to-Face-TIA-Kliniken während und nach COVID-19.</w:t>
      </w:r>
    </w:p>
    <w:p>
      <w:r>
        <w:rPr>
          <w:b/>
        </w:rPr>
        <w:t xml:space="preserve">Ergebnis: </w:t>
      </w:r>
      <w:r>
        <w:t>Patienten betonten die Wichtigkeit von Präsenzkontakt ('being seen'); zwei Kernthemen identifiziert: (1) bessere Kommunikationsmöglichkeiten und (2) Gefühl, von einem multiprofessionellen Team versorgt zu werden. Fachpersonen sahen virtuelle Kliniken positiver als Patienten; eine Hybrid-Lösung könnte optimal sein.</w:t>
      </w:r>
    </w:p>
    <w:p>
      <w:r>
        <w:rPr>
          <w:b/>
          <w:sz w:val="19"/>
        </w:rPr>
        <w:t xml:space="preserve">Übertragbarkeit: </w:t>
      </w:r>
      <w:r>
        <w:rPr>
          <w:sz w:val="19"/>
        </w:rPr>
        <w:t>Großbritannien (NHS), aber Fragestellung zu Patientenperspektive systemunabhängig</w:t>
      </w:r>
    </w:p>
    <w:p>
      <w:r>
        <w:rPr>
          <w:color w:val="5A7D3A"/>
          <w:sz w:val="18"/>
        </w:rPr>
        <w:t>https://pubmed.ncbi.nlm.nih.gov/42791572/</w:t>
      </w:r>
    </w:p>
    <w:p>
      <w:pPr>
        <w:pStyle w:val="Heading2"/>
      </w:pPr>
      <w:r>
        <w:t>Patient-Journey-Mapping für allogene Stammzelltransplantation: Holistische Versorgungsbedarfe</w:t>
      </w:r>
    </w:p>
    <w:p>
      <w:r>
        <w:rPr>
          <w:i/>
          <w:color w:val="666666"/>
          <w:sz w:val="18"/>
        </w:rPr>
        <w:t>Nan J et al.  ·  BMC Health Serv Res  ·  13.08.2026  ·  PMID 42786489</w:t>
      </w:r>
    </w:p>
    <w:p>
      <w:r>
        <w:t>Qualitative Studie mit 16 allogenen-HSCT-Patienten (November-Dezember 2025) zur Kartierung der Gesundheitsmanagement-Reise über vier Phasen (Screening, Transplantation, Erhaltungstherapie, Langzeit-Follow-up).</w:t>
      </w:r>
    </w:p>
    <w:p>
      <w:r>
        <w:rPr>
          <w:b/>
        </w:rPr>
        <w:t xml:space="preserve">Ergebnis: </w:t>
      </w:r>
      <w:r>
        <w:t>31 Themen über drei Dimensionen identifiziert (Aufgabenausführung, emotionaler Zustand, Schmerzpunkte). Symptombelastung verschoben sich dynamisch: psychische Belastung und Entscheidungslähmung in Phase 1, akute physische Symptome in Phase 2, chronische funktionelle Rückgänge in Phase 4. Durchgehend kritische Schmerzpunkte: fragmentierte Übergänge, Misalignment von Information zu Bedarf, fehlendes Selbstmanagement-Support, finanzielle Last.</w:t>
      </w:r>
    </w:p>
    <w:p>
      <w:r>
        <w:rPr>
          <w:b/>
          <w:sz w:val="19"/>
        </w:rPr>
        <w:t xml:space="preserve">Übertragbarkeit: </w:t>
      </w:r>
      <w:r>
        <w:rPr>
          <w:sz w:val="19"/>
        </w:rPr>
        <w:t>China, aber patient-centered Journey-Mapping-Methodik systemunabhängig übertragbar</w:t>
      </w:r>
    </w:p>
    <w:p>
      <w:r>
        <w:rPr>
          <w:color w:val="5A7D3A"/>
          <w:sz w:val="18"/>
        </w:rPr>
        <w:t>https://pubmed.ncbi.nlm.nih.gov/42786489/</w:t>
      </w:r>
    </w:p>
    <w:p>
      <w:pPr>
        <w:pStyle w:val="Heading1"/>
      </w:pPr>
      <w:r>
        <w:t>Aufgenommen am 26.09.2026</w:t>
      </w:r>
    </w:p>
    <w:p>
      <w:pPr>
        <w:pStyle w:val="Heading2"/>
      </w:pPr>
      <w:r>
        <w:t>Strukturiertes Shared Decision-Making in der Krankenhausversorgung</w:t>
      </w:r>
    </w:p>
    <w:p>
      <w:r>
        <w:rPr>
          <w:i/>
          <w:color w:val="666666"/>
          <w:sz w:val="18"/>
        </w:rPr>
        <w:t>Salas-Gama K et al.  ·  J Healthc Qual Res  ·  25.09.2026  ·  PMID 42790349</w:t>
      </w:r>
    </w:p>
    <w:p>
      <w:r>
        <w:t>Entwicklung und pilotweise Implementierung eines sechsstufigen Shared-Decision-Making-Modells zur Integration in Krankenhausabläufe mit Evaluation von Machbarkeit, Akzeptabilität und Outcome.</w:t>
      </w:r>
    </w:p>
    <w:p>
      <w:r>
        <w:rPr>
          <w:b/>
        </w:rPr>
        <w:t xml:space="preserve">Ergebnis: </w:t>
      </w:r>
      <w:r>
        <w:t>Bei Adipositas berichteten SDM-Teilnehmer höheres Patientenwissen (80,0% vs. 48,8%; p&lt;0,001) und größere Entscheidungszufriedenheit (28,0 vs. 24,2; p=0,022). Bei chronischer Nierenkrankheit zeigte sich signifikant höheres Wissen (91,1% vs. 37,1%; p&lt;0,001). Machbarkeitsschwellen wurden in beiden Indikationen erreicht.</w:t>
      </w:r>
    </w:p>
    <w:p>
      <w:r>
        <w:rPr>
          <w:b/>
          <w:sz w:val="19"/>
        </w:rPr>
        <w:t xml:space="preserve">Übertragbarkeit: </w:t>
      </w:r>
      <w:r>
        <w:rPr>
          <w:sz w:val="19"/>
        </w:rPr>
        <w:t>Spanien, Pilotprojekt im Krankenhaus - methodische Übertragbarkeit auf deutsches Setting gegeben</w:t>
      </w:r>
    </w:p>
    <w:p>
      <w:r>
        <w:rPr>
          <w:color w:val="5A7D3A"/>
          <w:sz w:val="18"/>
        </w:rPr>
        <w:t>https://pubmed.ncbi.nlm.nih.gov/42790349/</w:t>
      </w:r>
    </w:p>
    <w:p>
      <w:pPr>
        <w:pStyle w:val="Heading2"/>
      </w:pPr>
      <w:r>
        <w:t>Surgery on Foot-Protokoll: Patientenerfahrung bei Kolorektalkarzinom</w:t>
      </w:r>
    </w:p>
    <w:p>
      <w:r>
        <w:rPr>
          <w:i/>
          <w:color w:val="666666"/>
          <w:sz w:val="18"/>
        </w:rPr>
        <w:t>van Gool ISM et al.  ·  J Surg Oncol  ·  25.09.2026  ·  PMID 42788955</w:t>
      </w:r>
    </w:p>
    <w:p>
      <w:r>
        <w:t>Qualitative Studie zu Patientenerfahrungen mit dem Surgery-on-Foot-Protokoll, bei dem Patienten am OP-Tag (statt Vortagnacht) aufgenommen und zur OP gehen.</w:t>
      </w:r>
    </w:p>
    <w:p>
      <w:r>
        <w:rPr>
          <w:b/>
        </w:rPr>
        <w:t xml:space="preserve">Ergebnis: </w:t>
      </w:r>
      <w:r>
        <w:t>14 Patienten befragt; Gesamterfahrung positiv. Faktoren für Kontrollgefühl: persönlicher Umgang, involvierte Ärzte und Anwesenheit von Bezugspersonen. Einige Patienten berichteten Angst und Unbehagen bezüglich Krankenhausumgebung. Protokoll wirkte sich positiv auf patientenzentrierte Aspekte aus.</w:t>
      </w:r>
    </w:p>
    <w:p>
      <w:r>
        <w:rPr>
          <w:b/>
          <w:sz w:val="19"/>
        </w:rPr>
        <w:t xml:space="preserve">Übertragbarkeit: </w:t>
      </w:r>
      <w:r>
        <w:rPr>
          <w:sz w:val="19"/>
        </w:rPr>
        <w:t>Niederlande (akademisches Krankenhaus), vergleichbares Versorgungssystem mit Deutschland</w:t>
      </w:r>
    </w:p>
    <w:p>
      <w:r>
        <w:rPr>
          <w:color w:val="5A7D3A"/>
          <w:sz w:val="18"/>
        </w:rPr>
        <w:t>https://pubmed.ncbi.nlm.nih.gov/42788955/</w:t>
      </w:r>
    </w:p>
    <w:p>
      <w:pPr>
        <w:pStyle w:val="Heading2"/>
      </w:pPr>
      <w:r>
        <w:t>Transformatives Governance-Modell für Gesundheit - Evaluierung des Programms Alles ist Gezondheid</w:t>
      </w:r>
    </w:p>
    <w:p>
      <w:r>
        <w:rPr>
          <w:i/>
          <w:color w:val="666666"/>
          <w:sz w:val="18"/>
        </w:rPr>
        <w:t>Bekker MPM et al.  ·  TSG  ·  16.09.2026  ·  PMID 42787321</w:t>
      </w:r>
    </w:p>
    <w:p>
      <w:r>
        <w:t>Mehrfachfallstudie zur Evaluierung eines niederländischen Programms für domeinoverstijgende Gesundheitsnetze; Entwicklung eines heuristischen Transformativen-Governance-Modells basierend auf Interviews, Beobachtungen und Workshops.</w:t>
      </w:r>
    </w:p>
    <w:p>
      <w:r>
        <w:rPr>
          <w:b/>
        </w:rPr>
        <w:t xml:space="preserve">Ergebnis: </w:t>
      </w:r>
      <w:r>
        <w:t>Fünf Small Wins und fünf Veränderungsmechanismen identifiziert, die sich nicht-linear gegenseitig verstärken. Konflikteskalation und -management essentiell für Anpassung von Normen und Regeln. Modell zeigt, wie Transformationsprozesse durch nationale Plattform und Zusammenarbeit ermöglicht werden.</w:t>
      </w:r>
    </w:p>
    <w:p>
      <w:r>
        <w:rPr>
          <w:b/>
          <w:sz w:val="19"/>
        </w:rPr>
        <w:t xml:space="preserve">Übertragbarkeit: </w:t>
      </w:r>
      <w:r>
        <w:rPr>
          <w:sz w:val="19"/>
        </w:rPr>
        <w:t>Niederlande, Sozialversicherungssystem - hohe Übertragbarkeit auf Deutschland</w:t>
      </w:r>
    </w:p>
    <w:p>
      <w:r>
        <w:rPr>
          <w:color w:val="5A7D3A"/>
          <w:sz w:val="18"/>
        </w:rPr>
        <w:t>https://pubmed.ncbi.nlm.nih.gov/42787321/</w:t>
      </w:r>
    </w:p>
    <w:p>
      <w:pPr>
        <w:pStyle w:val="Heading2"/>
      </w:pPr>
      <w:r>
        <w:t>Komplexität von Beatmungsentwöhnung in der Intensivmedizin</w:t>
      </w:r>
    </w:p>
    <w:p>
      <w:r>
        <w:rPr>
          <w:i/>
          <w:color w:val="666666"/>
          <w:sz w:val="18"/>
        </w:rPr>
        <w:t>Sterr F et al.  ·  Nurs Crit Care  ·  Nov. 2026  ·  PMID 42786673</w:t>
      </w:r>
    </w:p>
    <w:p>
      <w:r>
        <w:t>Qualitative Studie mit 29 Intensivpflegefachkräften zur Identifikation von Charakteristika und Mechanismen der Beatmungsentwöhnung als komplexe Intervention.</w:t>
      </w:r>
    </w:p>
    <w:p>
      <w:r>
        <w:rPr>
          <w:b/>
        </w:rPr>
        <w:t xml:space="preserve">Ergebnis: </w:t>
      </w:r>
      <w:r>
        <w:t>Vier Hauptthemen identifiziert: Komplexität der Beatmungsentwöhnung, Outcomes, Interventionen sowie Verknüpfungen und Wechselwirkungen. Analyse zeigt, dass Beatmungsentwöhnung durch Interaktion verschiedener Interventionen, Outcomes und kontextueller Faktoren geprägt ist und theoretisch-konzeptuell organisiert werden muss.</w:t>
      </w:r>
    </w:p>
    <w:p>
      <w:r>
        <w:rPr>
          <w:b/>
          <w:sz w:val="19"/>
        </w:rPr>
        <w:t xml:space="preserve">Übertragbarkeit: </w:t>
      </w:r>
      <w:r>
        <w:rPr>
          <w:sz w:val="19"/>
        </w:rPr>
        <w:t>Deutschland, qualitative Analyse von Intensivpflegeprozessen - systemunabhängig übertragbar</w:t>
      </w:r>
    </w:p>
    <w:p>
      <w:r>
        <w:rPr>
          <w:color w:val="5A7D3A"/>
          <w:sz w:val="18"/>
        </w:rPr>
        <w:t>https://pubmed.ncbi.nlm.nih.gov/42786673/</w:t>
      </w:r>
    </w:p>
    <w:p>
      <w:pPr>
        <w:pStyle w:val="Heading2"/>
      </w:pPr>
      <w:r>
        <w:t>Vertrauen in Gesundheitssystem und Vermeidung von Gesundheitsleistungen</w:t>
      </w:r>
    </w:p>
    <w:p>
      <w:r>
        <w:rPr>
          <w:i/>
          <w:color w:val="666666"/>
          <w:sz w:val="18"/>
        </w:rPr>
        <w:t>Uçar M et al.  ·  BMC Health Serv Res  ·  31.08.2026  ·  PMID 42786500</w:t>
      </w:r>
    </w:p>
    <w:p>
      <w:r>
        <w:t>Querschnittsuntersuchung zum Zusammenhang zwischen medizinischem Vertrauen, Systemvertrauen und Verzögerungsverhalten bei der Inanspruchnahme sowie Einstellung zu Krebsscreening in der Primärversorgung.</w:t>
      </w:r>
    </w:p>
    <w:p>
      <w:r>
        <w:rPr>
          <w:b/>
        </w:rPr>
        <w:t xml:space="preserve">Ergebnis: </w:t>
      </w:r>
      <w:r>
        <w:t>Medizinisches Misstrauen und Systemvertrauen waren positiv mit Verzögerungsverhalten assoziiert und negativ mit Screening-Einstellungen (p&lt;0,001). Medizinisches Misstrauen zeigte stärkste unabhängige Assoziation mit Verzögerungsverhalten (β=0,59) und Screening-Einstellung (β=-0,79).</w:t>
      </w:r>
    </w:p>
    <w:p>
      <w:r>
        <w:rPr>
          <w:b/>
          <w:sz w:val="19"/>
        </w:rPr>
        <w:t xml:space="preserve">Übertragbarkeit: </w:t>
      </w:r>
      <w:r>
        <w:rPr>
          <w:sz w:val="19"/>
        </w:rPr>
        <w:t>Türkei, aber Fragestellung zum Vertrauensaufbau systemunabhängig relevant</w:t>
      </w:r>
    </w:p>
    <w:p>
      <w:r>
        <w:rPr>
          <w:color w:val="5A7D3A"/>
          <w:sz w:val="18"/>
        </w:rPr>
        <w:t>https://pubmed.ncbi.nlm.nih.gov/42786500/</w:t>
      </w:r>
    </w:p>
    <w:p>
      <w:pPr>
        <w:pStyle w:val="Heading2"/>
      </w:pPr>
      <w:r>
        <w:t>Versorgungslücken in der Rehabilitation von unter 60-Jährigen in Deutschland</w:t>
      </w:r>
    </w:p>
    <w:p>
      <w:r>
        <w:rPr>
          <w:i/>
          <w:color w:val="666666"/>
          <w:sz w:val="18"/>
        </w:rPr>
        <w:t>Armbruster C et al.  ·  BMC Health Serv Res  ·  24.09.2026  ·  PMID 42786497</w:t>
      </w:r>
    </w:p>
    <w:p>
      <w:r>
        <w:t>Exploratory Expertenbefragung zu Versorgungslücken und Machbarkeit einer indikationsübergreifenden, ambulanten Rehabilitationsversorgung für Patienten unter 60 Jahren mit komplexen Beeinträchtigungen.</w:t>
      </w:r>
    </w:p>
    <w:p>
      <w:r>
        <w:rPr>
          <w:b/>
        </w:rPr>
        <w:t xml:space="preserve">Ergebnis: </w:t>
      </w:r>
      <w:r>
        <w:t>136 Experten aus sechs Fachbereichen nahmen teil; überwiegende Mehrheit sah hohe Versorgungslücken in aktuellen Rehabilitationsdiensten. Experten bewerteten indikationsübergreifende, ambulante Rehabilitation positiv bezüglich Nutzen und Notwendigkeit, um bestehende Versorgungslücken zu schließen.</w:t>
      </w:r>
    </w:p>
    <w:p>
      <w:r>
        <w:rPr>
          <w:b/>
          <w:sz w:val="19"/>
        </w:rPr>
        <w:t xml:space="preserve">Übertragbarkeit: </w:t>
      </w:r>
      <w:r>
        <w:rPr>
          <w:sz w:val="19"/>
        </w:rPr>
        <w:t>Deutsche Expertenbefragung, direkt auf deutsches Versorgungssystem anwendbar</w:t>
      </w:r>
    </w:p>
    <w:p>
      <w:r>
        <w:rPr>
          <w:color w:val="5A7D3A"/>
          <w:sz w:val="18"/>
        </w:rPr>
        <w:t>https://pubmed.ncbi.nlm.nih.gov/42786497/</w:t>
      </w:r>
    </w:p>
    <w:p>
      <w:pPr>
        <w:pStyle w:val="Heading1"/>
      </w:pPr>
      <w:r>
        <w:t>Aufgenommen am 25.09.2026</w:t>
      </w:r>
    </w:p>
    <w:p>
      <w:pPr>
        <w:pStyle w:val="Heading2"/>
      </w:pPr>
      <w:r>
        <w:t>Morbiditäten und Infektionen bei MS-Patienten in niederländischen Hausarztpraxen</w:t>
      </w:r>
    </w:p>
    <w:p>
      <w:r>
        <w:rPr>
          <w:i/>
          <w:color w:val="666666"/>
          <w:sz w:val="18"/>
        </w:rPr>
        <w:t>Lemmens CMC et al.  ·  Mult Scler Relat Disord  ·  14.09.2026  ·  PMID 42785001</w:t>
      </w:r>
    </w:p>
    <w:p>
      <w:r>
        <w:t>Retrospektive Fall-Kontroll-Studie zu Begleiterkrankungen und Infektionsraten bei MS-Patienten versus Kontrollpersonen in niederländischen Primärversorgungspraxen (Nivel-Datenbank 2019).</w:t>
      </w:r>
    </w:p>
    <w:p>
      <w:r>
        <w:rPr>
          <w:b/>
        </w:rPr>
        <w:t xml:space="preserve">Ergebnis: </w:t>
      </w:r>
      <w:r>
        <w:t>MS-Patienten zeigten höhere Lebenszeitprävalenz chronischer Erkrankungen (insbesondere Osteoporose, Schlaganfall, Epilepsie); jährliche Infektionsrate OR 1,86 (95%-KI 1,73–1,99). CCI-Scores ≥2 und ≥1 Infektionsepisode waren mit erhöhter 5-Jahres-Mortalität assoziiert (aHR 3,30 bzw. 1,68).</w:t>
      </w:r>
    </w:p>
    <w:p>
      <w:r>
        <w:rPr>
          <w:b/>
          <w:sz w:val="19"/>
        </w:rPr>
        <w:t xml:space="preserve">Übertragbarkeit: </w:t>
      </w:r>
      <w:r>
        <w:rPr>
          <w:sz w:val="19"/>
        </w:rPr>
        <w:t>Niederlande, Primärversorgungsdaten; vergleichbares Sozialversicherungssystem</w:t>
      </w:r>
    </w:p>
    <w:p>
      <w:r>
        <w:rPr>
          <w:color w:val="5A7D3A"/>
          <w:sz w:val="18"/>
        </w:rPr>
        <w:t>https://pubmed.ncbi.nlm.nih.gov/42785001/</w:t>
      </w:r>
    </w:p>
    <w:p>
      <w:pPr>
        <w:pStyle w:val="Heading2"/>
      </w:pPr>
      <w:r>
        <w:t>Patientenperspektiven auf Apotheker-gesteuertes Hypertonie-Management nach Notaufnahme</w:t>
      </w:r>
    </w:p>
    <w:p>
      <w:r>
        <w:rPr>
          <w:i/>
          <w:color w:val="666666"/>
          <w:sz w:val="18"/>
        </w:rPr>
        <w:t>Kuhn D et al.  ·  Am J Health Syst Pharm  ·  24.09.2026  ·  PMID 42781767</w:t>
      </w:r>
    </w:p>
    <w:p>
      <w:r>
        <w:t>Qualitative Studie mit 11 Patienten aus urban-akademischer Notaufnahme zur Akzeptanz von Apotheker-gesteuerter Hypertonie-Nachbetreuung nach Entlassung.</w:t>
      </w:r>
    </w:p>
    <w:p>
      <w:r>
        <w:rPr>
          <w:b/>
        </w:rPr>
        <w:t xml:space="preserve">Ergebnis: </w:t>
      </w:r>
      <w:r>
        <w:t>Vier Themen: (1) begrenzte Hypertonie-Kommunikation, Wissenslücken; (2) Technologie mindert Barrieren; (3) Apotheker-Expertise akzeptiert, aber Unsicherheit zu Qualifikation/Verschreibungsrecht; (4) Wert von Kontinuität und Arzt-Apotheker-Zusammenarbeit.</w:t>
      </w:r>
    </w:p>
    <w:p>
      <w:r>
        <w:rPr>
          <w:b/>
          <w:sz w:val="19"/>
        </w:rPr>
        <w:t xml:space="preserve">Übertragbarkeit: </w:t>
      </w:r>
      <w:r>
        <w:rPr>
          <w:sz w:val="19"/>
        </w:rPr>
        <w:t>USA, aber Fragestellung zu Prozessen/Patientenperspektive teilweise übertragbar</w:t>
      </w:r>
    </w:p>
    <w:p>
      <w:r>
        <w:rPr>
          <w:color w:val="5A7D3A"/>
          <w:sz w:val="18"/>
        </w:rPr>
        <w:t>https://pubmed.ncbi.nlm.nih.gov/42781767/</w:t>
      </w:r>
    </w:p>
    <w:p>
      <w:pPr>
        <w:pStyle w:val="Heading2"/>
      </w:pPr>
      <w:r>
        <w:t>Referenzpreise beeinflussen Kostenanalysen in gesundheitsökonomischen Evaluationen</w:t>
      </w:r>
    </w:p>
    <w:p>
      <w:r>
        <w:rPr>
          <w:i/>
          <w:color w:val="666666"/>
          <w:sz w:val="18"/>
        </w:rPr>
        <w:t>Hoelen TA et al.  ·  Int J Technol Assess Health Care  ·  24.09.2026  ·  PMID 42779108</w:t>
      </w:r>
    </w:p>
    <w:p>
      <w:r>
        <w:t>Empirischer Vergleich der Auswirkungen nationaler Preisrichtlinien auf Kostenanalysen von Gesundheitstechnologien anhand idiopathischer Skoliose in Niederlanden und Großbritannien.</w:t>
      </w:r>
    </w:p>
    <w:p>
      <w:r>
        <w:rPr>
          <w:b/>
        </w:rPr>
        <w:t xml:space="preserve">Ergebnis: </w:t>
      </w:r>
      <w:r>
        <w:t>Niederländische Kostenestimate stiegen um 18% nach Richtlinien-Update 2014–2024; UK-Kosten waren 69% höher als in NL. Zwölf niederländische Kostenposten änderten sich um &gt;10%, vier britische – deutliche Methodenvariation zwischen Ländern.</w:t>
      </w:r>
    </w:p>
    <w:p>
      <w:r>
        <w:rPr>
          <w:b/>
          <w:sz w:val="19"/>
        </w:rPr>
        <w:t xml:space="preserve">Übertragbarkeit: </w:t>
      </w:r>
      <w:r>
        <w:rPr>
          <w:sz w:val="19"/>
        </w:rPr>
        <w:t>Niederlande, Vereinigtes Königreich; zentrale Erkenntnisse zu Übertragbarkeitsgrenzen</w:t>
      </w:r>
    </w:p>
    <w:p>
      <w:r>
        <w:rPr>
          <w:color w:val="5A7D3A"/>
          <w:sz w:val="18"/>
        </w:rPr>
        <w:t>https://pubmed.ncbi.nlm.nih.gov/42779108/</w:t>
      </w:r>
    </w:p>
    <w:p>
      <w:pPr>
        <w:pStyle w:val="Heading2"/>
      </w:pPr>
      <w:r>
        <w:t>Regionale Demenz-Strategie durch Delphi-Prozess: Sachsen-Anhalt</w:t>
      </w:r>
    </w:p>
    <w:p>
      <w:r>
        <w:rPr>
          <w:i/>
          <w:color w:val="666666"/>
          <w:sz w:val="18"/>
        </w:rPr>
        <w:t>Schiller C et al.  ·  BMC Health Serv Res  ·  22.09.2026  ·  PMID 42778917</w:t>
      </w:r>
    </w:p>
    <w:p>
      <w:r>
        <w:t>Partizipative, zweiphasige Methode (Delphi + deliberative Dialoge) zur Entwicklung einer regionalen Demenz-Strategie mit 406 Teilnehmern (Betroffene, Angehörige, Fachkräfte, Politiker).</w:t>
      </w:r>
    </w:p>
    <w:p>
      <w:r>
        <w:rPr>
          <w:b/>
        </w:rPr>
        <w:t xml:space="preserve">Ergebnis: </w:t>
      </w:r>
      <w:r>
        <w:t>88 initiale Ziele; 47 erreichten Konsens in Runde 1, 21 weitere in Runde 2, 7 durch Dialoge validiert. Finale Strategie: 40 strategische Ziele in vier Themenbereichen. Identifizierte Hürden: Fachkräftemangel, Bürokratie, Angehörigen-Belastung.</w:t>
      </w:r>
    </w:p>
    <w:p>
      <w:r>
        <w:rPr>
          <w:b/>
          <w:sz w:val="19"/>
        </w:rPr>
        <w:t xml:space="preserve">Übertragbarkeit: </w:t>
      </w:r>
      <w:r>
        <w:rPr>
          <w:sz w:val="19"/>
        </w:rPr>
        <w:t>Deutschland (Sachsen-Anhalt); direkter Übertrag auf Versorgungsplanung</w:t>
      </w:r>
    </w:p>
    <w:p>
      <w:r>
        <w:rPr>
          <w:color w:val="5A7D3A"/>
          <w:sz w:val="18"/>
        </w:rPr>
        <w:t>https://pubmed.ncbi.nlm.nih.gov/42778917/</w:t>
      </w:r>
    </w:p>
    <w:p>
      <w:pPr>
        <w:pStyle w:val="Heading2"/>
      </w:pPr>
      <w:r>
        <w:t>Ökonomische Evaluation von Prävention gegen Langzeiterkrankschreibung</w:t>
      </w:r>
    </w:p>
    <w:p>
      <w:r>
        <w:rPr>
          <w:i/>
          <w:color w:val="666666"/>
          <w:sz w:val="18"/>
        </w:rPr>
        <w:t>Klasen S et al.  ·  J Occup Rehabil  ·  23.09.2026  ·  PMID 42778834</w:t>
      </w:r>
    </w:p>
    <w:p>
      <w:r>
        <w:t>Gesundheitsökonomische Analyse einer Früh-Interventionsstrategie gegen Langzeitausfallrisiko basierend auf RCT-Daten mit 12-Monats-Follow-up in Niederlanden.</w:t>
      </w:r>
    </w:p>
    <w:p>
      <w:r>
        <w:rPr>
          <w:b/>
        </w:rPr>
        <w:t xml:space="preserve">Ergebnis: </w:t>
      </w:r>
      <w:r>
        <w:t>Aus Arbeitgeber-Perspektive dominant (€–3,92/Punkt Selbstempfundene-Gesundheit-Verbesserung mit Kostenersparnis durch reduzierte Krankschreibung). Aus Gesellschafts- und Gesundheitswesen-Perspektive: ICER €39,19–39,77/Punkt.</w:t>
      </w:r>
    </w:p>
    <w:p>
      <w:r>
        <w:rPr>
          <w:b/>
          <w:sz w:val="19"/>
        </w:rPr>
        <w:t xml:space="preserve">Übertragbarkeit: </w:t>
      </w:r>
      <w:r>
        <w:rPr>
          <w:sz w:val="19"/>
        </w:rPr>
        <w:t>Niederlande, Sozialversicherungssystem, Arbeitsmedizin-Fokus</w:t>
      </w:r>
    </w:p>
    <w:p>
      <w:r>
        <w:rPr>
          <w:color w:val="5A7D3A"/>
          <w:sz w:val="18"/>
        </w:rPr>
        <w:t>https://pubmed.ncbi.nlm.nih.gov/42778834/</w:t>
      </w:r>
    </w:p>
    <w:p>
      <w:pPr>
        <w:pStyle w:val="Heading2"/>
      </w:pPr>
      <w:r>
        <w:t>Kosteneffektivität von endoskopischer Schlauchmagen-Bildung in Singapur</w:t>
      </w:r>
    </w:p>
    <w:p>
      <w:r>
        <w:rPr>
          <w:i/>
          <w:color w:val="666666"/>
          <w:sz w:val="18"/>
        </w:rPr>
        <w:t>Chay J et al.  ·  Surg Obes Relat Dis  ·  28.08.2026  ·  PMID 42767913</w:t>
      </w:r>
    </w:p>
    <w:p>
      <w:r>
        <w:t>Markov-Modell zur Lebenszeitanalyse von endoskopischer Schlauchmagen-Bildung plus Lebensstiländerung versus alleinige Lebensstiländerung bei Adipositas.</w:t>
      </w:r>
    </w:p>
    <w:p>
      <w:r>
        <w:rPr>
          <w:b/>
        </w:rPr>
        <w:t xml:space="preserve">Ergebnis: </w:t>
      </w:r>
      <w:r>
        <w:t>ICER SG$24.580/QALY (US$18.410). Für Patienten ohne T2D: SG$19.320/QALY; mit T2D: SG$37.320/QALY. Bei Schwelle SG$75.000/QALY kosteneffektiv in 98,8% probabilistischer Sensitivitätsanalysen.</w:t>
      </w:r>
    </w:p>
    <w:p>
      <w:r>
        <w:rPr>
          <w:b/>
          <w:sz w:val="19"/>
        </w:rPr>
        <w:t xml:space="preserve">Übertragbarkeit: </w:t>
      </w:r>
      <w:r>
        <w:rPr>
          <w:sz w:val="19"/>
        </w:rPr>
        <w:t>Nur bedingt: Singapur-Kontext, andere Kostenstrukturen; Fragestellung aber systemunabhängig</w:t>
      </w:r>
    </w:p>
    <w:p>
      <w:r>
        <w:rPr>
          <w:color w:val="5A7D3A"/>
          <w:sz w:val="18"/>
        </w:rPr>
        <w:t>https://pubmed.ncbi.nlm.nih.gov/42767913/</w:t>
      </w:r>
    </w:p>
    <w:p>
      <w:pPr>
        <w:pStyle w:val="Heading1"/>
      </w:pPr>
      <w:r>
        <w:t>Aufgenommen am 24.09.2026</w:t>
      </w:r>
    </w:p>
    <w:p>
      <w:pPr>
        <w:pStyle w:val="Heading2"/>
      </w:pPr>
      <w:r>
        <w:t>Rauchen und schwere Erkrankungen: 10-Jahres-Assoziation mit Nikotinentwöhnung</w:t>
      </w:r>
    </w:p>
    <w:p>
      <w:r>
        <w:rPr>
          <w:i/>
          <w:color w:val="666666"/>
          <w:sz w:val="18"/>
        </w:rPr>
        <w:t>Imai E et al.  ·  J Epidemiol  ·  19.09.2026  ·  PMID 42778372</w:t>
      </w:r>
    </w:p>
    <w:p>
      <w:r>
        <w:t>Prospektive Kohortenstudie mit 17.779 japanischen Rauchern zur Assoziation von Herzinfarkt, Schlaganfall, Krebs und Chirurgie mit langfristiger Rauchentwöhnung.</w:t>
      </w:r>
    </w:p>
    <w:p>
      <w:r>
        <w:rPr>
          <w:b/>
        </w:rPr>
        <w:t xml:space="preserve">Ergebnis: </w:t>
      </w:r>
      <w:r>
        <w:t>26,9 % der Raucher (n=4.789) beendeten das Rauchen über 10 Jahre. Major-disease-Diagnosen zeigten starke Assoziation mit Entwöhnung (OR 5,39; 95%-KI 4,80–6,05); Herzinfarkt OR 6,87 (95%-KI 5,18–9,12), Schlaganfall OR 4,03 (95%-KI 3,40–4,78), Lungenkrebs OR 7,41 (95%-KI 4,44–12,51).</w:t>
      </w:r>
    </w:p>
    <w:p>
      <w:r>
        <w:rPr>
          <w:b/>
          <w:sz w:val="19"/>
        </w:rPr>
        <w:t xml:space="preserve">Übertragbarkeit: </w:t>
      </w:r>
      <w:r>
        <w:rPr>
          <w:sz w:val="19"/>
        </w:rPr>
        <w:t>Japan – Fragestellung systemunabhängig; vergleichbare Verhaltensforschung übertragbar</w:t>
      </w:r>
    </w:p>
    <w:p>
      <w:r>
        <w:rPr>
          <w:color w:val="5A7D3A"/>
          <w:sz w:val="18"/>
        </w:rPr>
        <w:t>https://pubmed.ncbi.nlm.nih.gov/42778372/</w:t>
      </w:r>
    </w:p>
    <w:p>
      <w:pPr>
        <w:pStyle w:val="Heading2"/>
      </w:pPr>
      <w:r>
        <w:t>Gemeindeverankerung und Verbleib von Ärzten in unterversorgten Regionen</w:t>
      </w:r>
    </w:p>
    <w:p>
      <w:r>
        <w:rPr>
          <w:i/>
          <w:color w:val="666666"/>
          <w:sz w:val="18"/>
        </w:rPr>
        <w:t>Pathman DE et al.  ·  JAMA Netw Open  ·  01.09.2026  ·  PMID 42776525</w:t>
      </w:r>
    </w:p>
    <w:p>
      <w:r>
        <w:t>Querschnittsstudie mit 1.074 Ärzten in ländlichen und urbanen Health Professional Shortage Areas (HPSA) zur Assoziation von Gemeindeintegration mit beabsichtigtem Verbleib.</w:t>
      </w:r>
    </w:p>
    <w:p>
      <w:r>
        <w:rPr>
          <w:b/>
        </w:rPr>
        <w:t xml:space="preserve">Ergebnis: </w:t>
      </w:r>
      <w:r>
        <w:t>75,5 % der Ärzte in ländlichen und 71,2 % in urbanen HPSA planten Verbleib &gt;2 Jahre (p=0,14). Beide Dimensionen (Gemeindeintegration β=0,58–0,69; Gemeindebedarfserfüllung β=0,56–0,61) waren unabhängig assoziiert mit Verbleib; keine signifikanten ländlich-urbanen Unterschiede.</w:t>
      </w:r>
    </w:p>
    <w:p>
      <w:r>
        <w:rPr>
          <w:b/>
          <w:sz w:val="19"/>
        </w:rPr>
        <w:t xml:space="preserve">Übertragbarkeit: </w:t>
      </w:r>
      <w:r>
        <w:rPr>
          <w:sz w:val="19"/>
        </w:rPr>
        <w:t>USA-Daten – Fragestellung zu Ärztebindung aber systemunabhängig relevant</w:t>
      </w:r>
    </w:p>
    <w:p>
      <w:r>
        <w:rPr>
          <w:color w:val="5A7D3A"/>
          <w:sz w:val="18"/>
        </w:rPr>
        <w:t>https://pubmed.ncbi.nlm.nih.gov/42776525/</w:t>
      </w:r>
    </w:p>
    <w:p>
      <w:pPr>
        <w:pStyle w:val="Heading2"/>
      </w:pPr>
      <w:r>
        <w:t>Unkomplizierte Harnwegsinfekte: Apothekerverschreibung in der Gemeindepharmzie</w:t>
      </w:r>
    </w:p>
    <w:p>
      <w:r>
        <w:rPr>
          <w:i/>
          <w:color w:val="666666"/>
          <w:sz w:val="18"/>
        </w:rPr>
        <w:t>Budden M et al.  ·  Int J Clin Pharm  ·  23.09.2026  ·  PMID 42776432</w:t>
      </w:r>
    </w:p>
    <w:p>
      <w:r>
        <w:t>Große Kohortenstudie (n=14.680 Follow-up) zu Wirksamkeit und Sicherheit von strukturierter Apothekerverschreibung für unkomplizierte Harnwegsinfekte in Australien.</w:t>
      </w:r>
    </w:p>
    <w:p>
      <w:r>
        <w:rPr>
          <w:b/>
        </w:rPr>
        <w:t xml:space="preserve">Ergebnis: </w:t>
      </w:r>
      <w:r>
        <w:t>Symptomauflösung nach 7 Tagen bei 79,4 % der Patienten, weitere 17,9 % mit Teilbesserung. Antibiotika in 92,6 % verschrieben, Überweisungen in 6,9 %, Nebenwirkungen in 5,0 % (meist milde gastrointestinale Symptome).</w:t>
      </w:r>
    </w:p>
    <w:p>
      <w:r>
        <w:rPr>
          <w:b/>
          <w:sz w:val="19"/>
        </w:rPr>
        <w:t xml:space="preserve">Übertragbarkeit: </w:t>
      </w:r>
      <w:r>
        <w:rPr>
          <w:sz w:val="19"/>
        </w:rPr>
        <w:t>Australien – vergleichbar zu Apotheker-Extended-Services in Sozialversicherungssystemen</w:t>
      </w:r>
    </w:p>
    <w:p>
      <w:r>
        <w:rPr>
          <w:color w:val="5A7D3A"/>
          <w:sz w:val="18"/>
        </w:rPr>
        <w:t>https://pubmed.ncbi.nlm.nih.gov/42776432/</w:t>
      </w:r>
    </w:p>
    <w:p>
      <w:pPr>
        <w:pStyle w:val="Heading2"/>
      </w:pPr>
      <w:r>
        <w:t>Augenärztliche Versorgung in deutschen Seniorenheimen: TOVIS-Studie</w:t>
      </w:r>
    </w:p>
    <w:p>
      <w:r>
        <w:rPr>
          <w:i/>
          <w:color w:val="666666"/>
          <w:sz w:val="18"/>
        </w:rPr>
        <w:t>Ach T et al.  ·  Z Gerontol Geriatr  ·  23.09.2026  ·  PMID 42776232</w:t>
      </w:r>
    </w:p>
    <w:p>
      <w:r>
        <w:t>Narrative Übersicht mit Fokus auf Versorgungslücken bei Augenerkrankungen in deutschen Pflegeheimen und Teleophthalmologie-Modell TOVIS (n=109 Bewohner).</w:t>
      </w:r>
    </w:p>
    <w:p>
      <w:r>
        <w:rPr>
          <w:b/>
        </w:rPr>
        <w:t xml:space="preserve">Ergebnis: </w:t>
      </w:r>
      <w:r>
        <w:t>OVIS-Studie: 61 % der Bewohner hatten behandlungsbedürftige ophthalmologische Befunde (Katarakt 53 %, AMD 39 %); letzte Augenarztvisite durchschnittlich 4 Jahre zurück. TOVIS-Pilotstudie: 48,5 % visusrelevante Katarakt, 34,1 % AMD, 60,6 % unzureichend angepasste Brille; nur 26,9 % der empfohlenen Nachuntersuchungen tatsächlich wahrgenommen.</w:t>
      </w:r>
    </w:p>
    <w:p>
      <w:r>
        <w:rPr>
          <w:b/>
          <w:sz w:val="19"/>
        </w:rPr>
        <w:t xml:space="preserve">Übertragbarkeit: </w:t>
      </w:r>
      <w:r>
        <w:rPr>
          <w:sz w:val="19"/>
        </w:rPr>
        <w:t>Deutsche Daten, Seniorenheime – direkt auf deutsches System übertragbar</w:t>
      </w:r>
    </w:p>
    <w:p>
      <w:r>
        <w:rPr>
          <w:color w:val="5A7D3A"/>
          <w:sz w:val="18"/>
        </w:rPr>
        <w:t>https://pubmed.ncbi.nlm.nih.gov/42776232/</w:t>
      </w:r>
    </w:p>
    <w:p>
      <w:pPr>
        <w:pStyle w:val="Heading2"/>
      </w:pPr>
      <w:r>
        <w:t>Soziale Determinanten und Gesundheitsungleichheit: Systemdynamische Perspektive</w:t>
      </w:r>
    </w:p>
    <w:p>
      <w:r>
        <w:rPr>
          <w:i/>
          <w:color w:val="666666"/>
          <w:sz w:val="18"/>
        </w:rPr>
        <w:t>Sturmberg JP et al.  ·  Front Public Health  ·  08.09.2026  ·  PMID 42774359</w:t>
      </w:r>
    </w:p>
    <w:p>
      <w:r>
        <w:t>Konzeptionelle Übersichtsarbeit zu Mechanismen, wie vernetzte soziale Determinanten Gesundheitsungleichheit durch biologisches Embedding und Rückkopplungsschleifen über die Lebensspanne verfestigen.</w:t>
      </w:r>
    </w:p>
    <w:p>
      <w:r>
        <w:rPr>
          <w:b/>
        </w:rPr>
        <w:t xml:space="preserve">Ergebnis: </w:t>
      </w:r>
      <w:r>
        <w:t>Kernaussage: Frühe biologische Prägung (Stressregulation, Entzündung, Epigenetik) und systemische Rückkopplungsschleifen stabilisieren Nachteil über Generationen; Nichtlinearität erklärt begrenzte Effekte isolierter Interventionen. Koordinierte, ortsgestützte Strategien und relationale Kontinuität in Primärversorgung zeigen Potenzial.</w:t>
      </w:r>
    </w:p>
    <w:p>
      <w:r>
        <w:rPr>
          <w:b/>
          <w:sz w:val="19"/>
        </w:rPr>
        <w:t xml:space="preserve">Übertragbarkeit: </w:t>
      </w:r>
      <w:r>
        <w:rPr>
          <w:sz w:val="19"/>
        </w:rPr>
        <w:t>Konzeptionelle Analyse – systemunabhängig, aber besonders relevant für Versorgungsstruktur</w:t>
      </w:r>
    </w:p>
    <w:p>
      <w:r>
        <w:rPr>
          <w:color w:val="5A7D3A"/>
          <w:sz w:val="18"/>
        </w:rPr>
        <w:t>https://pubmed.ncbi.nlm.nih.gov/42774359/</w:t>
      </w:r>
    </w:p>
    <w:p>
      <w:pPr>
        <w:pStyle w:val="Heading2"/>
      </w:pPr>
      <w:r>
        <w:t>Künstliche Intelligenz in der Kosten-Effektivitäts-Bewertung von Schmerztherapie</w:t>
      </w:r>
    </w:p>
    <w:p>
      <w:r>
        <w:rPr>
          <w:i/>
          <w:color w:val="666666"/>
          <w:sz w:val="18"/>
        </w:rPr>
        <w:t>Zmudzki F et al.  ·  Expert Rev Pharmacoecon Outcomes Res  ·  22.09.2026  ·  PMID 42773780</w:t>
      </w:r>
    </w:p>
    <w:p>
      <w:r>
        <w:t>Übersichtsarbeit zu Integration von KI-Methoden in ökonomische Evaluationen zur Präzisionsmedizin bei chronischem Schmerz.</w:t>
      </w:r>
    </w:p>
    <w:p>
      <w:r>
        <w:rPr>
          <w:b/>
        </w:rPr>
        <w:t xml:space="preserve">Ergebnis: </w:t>
      </w:r>
      <w:r>
        <w:t>Diskussion, wie maschinelles Lernen und automatisierte Datenverarbeitung ökonomische Rahmen für personalisierte Schmerzmanagement-Strategien verbessern können; konkrete Ergebnisse im Abstract nicht quantifiziert.</w:t>
      </w:r>
    </w:p>
    <w:p>
      <w:r>
        <w:rPr>
          <w:b/>
          <w:sz w:val="19"/>
        </w:rPr>
        <w:t xml:space="preserve">Übertragbarkeit: </w:t>
      </w:r>
      <w:r>
        <w:rPr>
          <w:sz w:val="19"/>
        </w:rPr>
        <w:t>Konzeptionelle Methodologie – systemunabhängig auf KI-Anwendungen fokussiert</w:t>
      </w:r>
    </w:p>
    <w:p>
      <w:r>
        <w:rPr>
          <w:color w:val="5A7D3A"/>
          <w:sz w:val="18"/>
        </w:rPr>
        <w:t>https://pubmed.ncbi.nlm.nih.gov/42773780/</w:t>
      </w:r>
    </w:p>
    <w:p>
      <w:pPr>
        <w:pStyle w:val="Heading1"/>
      </w:pPr>
      <w:r>
        <w:t>Aufgenommen am 23.09.2026</w:t>
      </w:r>
    </w:p>
    <w:p>
      <w:pPr>
        <w:pStyle w:val="Heading2"/>
      </w:pPr>
      <w:r>
        <w:t>Einkommensvolatilität und Mortalität bei Depression</w:t>
      </w:r>
    </w:p>
    <w:p>
      <w:r>
        <w:rPr>
          <w:i/>
          <w:color w:val="666666"/>
          <w:sz w:val="18"/>
        </w:rPr>
        <w:t>Cho H et al.  ·  J Korean Med Sci  ·  21.09.2026  ·  PMID 42773077</w:t>
      </w:r>
    </w:p>
    <w:p>
      <w:r>
        <w:t>Koreanische Kohortenstudie an 735.922 Personen mit Depression, die Zusammenhang zwischen Einkommensvolatilität und all-cause-Mortalität sowie Hospitalisierungen untersuchte.</w:t>
      </w:r>
    </w:p>
    <w:p>
      <w:r>
        <w:rPr>
          <w:b/>
        </w:rPr>
        <w:t xml:space="preserve">Ergebnis: </w:t>
      </w:r>
      <w:r>
        <w:t>Höhere Einkommensvolatilität assoziiert mit erhöhtem Mortalitätsrisiko (HR 1,18; 95%-KI 1,16–1,19) und Hospitalisierungen (IRR 1,07; 1,06–1,08). Bei Männern stärker ausgeprägt (HR 1,26 vs. 1,12 bei Frauen). Besonders hohe Risiken für Bluterkrankungen (IRR 1,47), endokrine Erkrankungen (1,40) und psychische Störungen (1,26).</w:t>
      </w:r>
    </w:p>
    <w:p>
      <w:r>
        <w:rPr>
          <w:b/>
          <w:sz w:val="19"/>
        </w:rPr>
        <w:t xml:space="preserve">Übertragbarkeit: </w:t>
      </w:r>
      <w:r>
        <w:rPr>
          <w:sz w:val="19"/>
        </w:rPr>
        <w:t>Südkorea – begrenzte Übertragbarkeit auf deutsches System mit anderer Sozialstruktur</w:t>
      </w:r>
    </w:p>
    <w:p>
      <w:r>
        <w:rPr>
          <w:color w:val="5A7D3A"/>
          <w:sz w:val="18"/>
        </w:rPr>
        <w:t>https://pubmed.ncbi.nlm.nih.gov/42773077/</w:t>
      </w:r>
    </w:p>
    <w:p>
      <w:pPr>
        <w:pStyle w:val="Heading2"/>
      </w:pPr>
      <w:r>
        <w:t>Ultra-verarbeitete Lebensmittel und chronische Erkrankungen</w:t>
      </w:r>
    </w:p>
    <w:p>
      <w:r>
        <w:rPr>
          <w:i/>
          <w:color w:val="666666"/>
          <w:sz w:val="18"/>
        </w:rPr>
        <w:t>Liu X et al.  ·  Fam Med Community Health  ·  22.09.2026  ·  PMID 42773062</w:t>
      </w:r>
    </w:p>
    <w:p>
      <w:r>
        <w:t>Metaanalyse von 51 prospektiven Kohortenstudien mit 8,8 Mio. Teilnehmern zu Risiken ultra-verarbeiteter Lebensmittel.</w:t>
      </w:r>
    </w:p>
    <w:p>
      <w:r>
        <w:rPr>
          <w:b/>
        </w:rPr>
        <w:t xml:space="preserve">Ergebnis: </w:t>
      </w:r>
      <w:r>
        <w:t>Ultra-verarbeitete Lebensmittel assoziiert mit kardiovaskulären Ereignissen (HR 1,24), Krebs (HR 1,12), Adipositas (HR 1,23), Diabetes (HR 1,24), Depression/Angststörung (HR 1,27), Verdauungserkrankungen (HR 1,31) und all-cause-Mortalität (HR 1,18). Pro 100 g/Tag zusätzlich: kardiovaskuläre Ereignisse HR 1,14.</w:t>
      </w:r>
    </w:p>
    <w:p>
      <w:r>
        <w:rPr>
          <w:b/>
          <w:sz w:val="19"/>
        </w:rPr>
        <w:t xml:space="preserve">Übertragbarkeit: </w:t>
      </w:r>
      <w:r>
        <w:rPr>
          <w:sz w:val="19"/>
        </w:rPr>
        <w:t>Internationale Daten – Fragestellung systemunabhängig, für Public-Health-Empfehlungen universell übertragbar</w:t>
      </w:r>
    </w:p>
    <w:p>
      <w:r>
        <w:rPr>
          <w:color w:val="5A7D3A"/>
          <w:sz w:val="18"/>
        </w:rPr>
        <w:t>https://pubmed.ncbi.nlm.nih.gov/42773062/</w:t>
      </w:r>
    </w:p>
    <w:p>
      <w:pPr>
        <w:pStyle w:val="Heading2"/>
      </w:pPr>
      <w:r>
        <w:t>Kardiovaskuläre Autonome Neuropathie und Diabeteskomplikationen</w:t>
      </w:r>
    </w:p>
    <w:p>
      <w:r>
        <w:rPr>
          <w:i/>
          <w:color w:val="666666"/>
          <w:sz w:val="18"/>
        </w:rPr>
        <w:t>Ignacy P et al.  ·  Clin Ther  ·  22.09.2026  ·  PMID 42773037</w:t>
      </w:r>
    </w:p>
    <w:p>
      <w:r>
        <w:t>Polnische Querschnittsstudie mit 728 Diabetespatienten zur Assoziation zwischen mikrovaskulären/makrovaskulären Komplikationen und kardiovaskulärer autonomer Neuropathie.</w:t>
      </w:r>
    </w:p>
    <w:p>
      <w:r>
        <w:rPr>
          <w:b/>
        </w:rPr>
        <w:t xml:space="preserve">Ergebnis: </w:t>
      </w:r>
      <w:r>
        <w:t>Kardiovaskuläre autonome Neuropathie bei 48,2% (davon definit 15,8%). Unabhängig assoziiert mit diabetischer Retinopathie (OR 2,26; 95%-KI 1,25–4,19; p=0,008); borderline mit CKD (OR 1,57; p=0,049). Keine signifikante Assoziation mit ASCVD.</w:t>
      </w:r>
    </w:p>
    <w:p>
      <w:r>
        <w:rPr>
          <w:b/>
          <w:sz w:val="19"/>
        </w:rPr>
        <w:t xml:space="preserve">Übertragbarkeit: </w:t>
      </w:r>
      <w:r>
        <w:rPr>
          <w:sz w:val="19"/>
        </w:rPr>
        <w:t>Polen – ähnliches Sozialversicherungssystem, gute Übertragbarkeit auf Deutschland</w:t>
      </w:r>
    </w:p>
    <w:p>
      <w:r>
        <w:rPr>
          <w:color w:val="5A7D3A"/>
          <w:sz w:val="18"/>
        </w:rPr>
        <w:t>https://pubmed.ncbi.nlm.nih.gov/42773037/</w:t>
      </w:r>
    </w:p>
    <w:p>
      <w:pPr>
        <w:pStyle w:val="Heading2"/>
      </w:pPr>
      <w:r>
        <w:t>Persona-Methode in partizipativer Versorgungsforschung</w:t>
      </w:r>
    </w:p>
    <w:p>
      <w:r>
        <w:rPr>
          <w:i/>
          <w:color w:val="666666"/>
          <w:sz w:val="18"/>
        </w:rPr>
        <w:t>Dittmer K et al.  ·  Z Evid Fortbild Qual Gesundhwes  ·  22.09.2026  ·  PMID 42773021</w:t>
      </w:r>
    </w:p>
    <w:p>
      <w:r>
        <w:t>Deutschsprachiger Methodenbericht zur Anwendung der Persona-Methode bei partizipativer Versorgungsforschung mit Fokusgruppen und Expert*innen.</w:t>
      </w:r>
    </w:p>
    <w:p>
      <w:r>
        <w:rPr>
          <w:b/>
        </w:rPr>
        <w:t xml:space="preserve">Ergebnis: </w:t>
      </w:r>
      <w:r>
        <w:t>Personas integrieren Erfahrungswissen mehrerer Experten anonym, ohne persönliche Daten preiszugeben; ideal für vulnerable Gruppen. Risiken: Stereotypisierung; Mitigation durch reflektive Entwicklungsprozesse. Reflexionsfragen zur Bias-Reduktion werden präsentiert.</w:t>
      </w:r>
    </w:p>
    <w:p>
      <w:r>
        <w:rPr>
          <w:b/>
          <w:sz w:val="19"/>
        </w:rPr>
        <w:t xml:space="preserve">Übertragbarkeit: </w:t>
      </w:r>
      <w:r>
        <w:rPr>
          <w:sz w:val="19"/>
        </w:rPr>
        <w:t>Deutsches Projekt – direkt übertragbar auf deutsche Versorgungsforschung</w:t>
      </w:r>
    </w:p>
    <w:p>
      <w:r>
        <w:rPr>
          <w:color w:val="5A7D3A"/>
          <w:sz w:val="18"/>
        </w:rPr>
        <w:t>https://pubmed.ncbi.nlm.nih.gov/42773021/</w:t>
      </w:r>
    </w:p>
    <w:p>
      <w:pPr>
        <w:pStyle w:val="Heading2"/>
      </w:pPr>
      <w:r>
        <w:t>Mobile Screening-Einheit für Barretts Ösophagus in England</w:t>
      </w:r>
    </w:p>
    <w:p>
      <w:r>
        <w:rPr>
          <w:i/>
          <w:color w:val="666666"/>
          <w:sz w:val="18"/>
        </w:rPr>
        <w:t>Landy R et al.  ·  BMJ Open Gastroenterol  ·  22.09.2026  ·  PMID 42772946</w:t>
      </w:r>
    </w:p>
    <w:p>
      <w:r>
        <w:t>Implementierungsstudie in England mit mobiler Einheit zur Kapselschwamm-Testung bei Refluxpatienten; Vergleich Hausarzt-Rekrutierung vs. Selbstmeldung.</w:t>
      </w:r>
    </w:p>
    <w:p>
      <w:r>
        <w:rPr>
          <w:b/>
        </w:rPr>
        <w:t xml:space="preserve">Ergebnis: </w:t>
      </w:r>
      <w:r>
        <w:t>Bei GP-Einladung: 50% Antwortquote, 59,6% interessiert, 66,3% elegibel, 532 teilgenommen; 15% aller Eingeladenen erfolgreich getestet. Bei Selbstmeldung: 39,6% erfolgreich getestet. Barretts-Prävalenz 4,2% (GP-invitiert) vs. 3,4% (Selbstmeldung). Akzeptanz &gt;99%.</w:t>
      </w:r>
    </w:p>
    <w:p>
      <w:r>
        <w:rPr>
          <w:b/>
          <w:sz w:val="19"/>
        </w:rPr>
        <w:t xml:space="preserve">Übertragbarkeit: </w:t>
      </w:r>
      <w:r>
        <w:rPr>
          <w:sz w:val="19"/>
        </w:rPr>
        <w:t>Großbritannien – ähnliche Primärversorgungsstruktur, begrenzte Übertragbarkeit (steuerfinanziert)</w:t>
      </w:r>
    </w:p>
    <w:p>
      <w:r>
        <w:rPr>
          <w:color w:val="5A7D3A"/>
          <w:sz w:val="18"/>
        </w:rPr>
        <w:t>https://pubmed.ncbi.nlm.nih.gov/42772946/</w:t>
      </w:r>
    </w:p>
    <w:p>
      <w:pPr>
        <w:pStyle w:val="Heading2"/>
      </w:pPr>
      <w:r>
        <w:t>Forschungsprioritäten in Hebammentätigkeit und Geburtshilfe</w:t>
      </w:r>
    </w:p>
    <w:p>
      <w:r>
        <w:rPr>
          <w:i/>
          <w:color w:val="666666"/>
          <w:sz w:val="18"/>
        </w:rPr>
        <w:t>Field J et al.  ·  BMJ Open  ·  21.09.2026  ·  PMID 42767736</w:t>
      </w:r>
    </w:p>
    <w:p>
      <w:r>
        <w:t>UK James-Lind-Alliance Priority-Setting Partnership mit 977 Befragten (Hebammen, Eltern, schwangere Personen) zur Identifikation von Forschungslücken in Geburtshilfe.</w:t>
      </w:r>
    </w:p>
    <w:p>
      <w:r>
        <w:rPr>
          <w:b/>
        </w:rPr>
        <w:t xml:space="preserve">Ergebnis: </w:t>
      </w:r>
      <w:r>
        <w:t>68 Priority-Topics identifiziert, nach evidenzbasierter Prüfung auf 67 reduziert, dann von 548 Befragten gereiht. 10 Top-Prioritäten durch Konsens vereinbart; umfassen klinische Versorgung, Personalwohlbefinden und Ausbildung.</w:t>
      </w:r>
    </w:p>
    <w:p>
      <w:r>
        <w:rPr>
          <w:b/>
          <w:sz w:val="19"/>
        </w:rPr>
        <w:t xml:space="preserve">Übertragbarkeit: </w:t>
      </w:r>
      <w:r>
        <w:rPr>
          <w:sz w:val="19"/>
        </w:rPr>
        <w:t>Großbritannien – methodisch stark, bedingt übertragbar auf deutsches Hebammensystem</w:t>
      </w:r>
    </w:p>
    <w:p>
      <w:r>
        <w:rPr>
          <w:color w:val="5A7D3A"/>
          <w:sz w:val="18"/>
        </w:rPr>
        <w:t>https://pubmed.ncbi.nlm.nih.gov/42767736/</w:t>
      </w:r>
    </w:p>
    <w:p>
      <w:pPr>
        <w:pStyle w:val="Heading2"/>
      </w:pPr>
      <w:r>
        <w:t>FeNO und Blut-Eosinophile zur Asthmadiagnose bei Kindern und Erwachsenen</w:t>
      </w:r>
    </w:p>
    <w:p>
      <w:r>
        <w:rPr>
          <w:i/>
          <w:color w:val="666666"/>
          <w:sz w:val="18"/>
        </w:rPr>
        <w:t>Roy MA et al.  ·  Lancet Respir Med  ·  15.09.2026  ·  PMID 42743935</w:t>
      </w:r>
    </w:p>
    <w:p>
      <w:r>
        <w:t>Metaanalyse von 30 diagnostischen Studien (22 bei Erwachsenen, 9 bei Kindern) zur Genauigkeit von FeNO und Blut-Eosinophilen gegenüber Bronchialprovokationstests.</w:t>
      </w:r>
    </w:p>
    <w:p>
      <w:r>
        <w:rPr>
          <w:b/>
        </w:rPr>
        <w:t xml:space="preserve">Ergebnis: </w:t>
      </w:r>
      <w:r>
        <w:t>FeNO diagnostische Genauigkeit: Erwachsene AUC 0,80, Kinder AUC 0,75. Bei Erwachsenen FeNO≥65 ppb: positive Vorhersagekraft 80%, &lt;20 ppb: negative VK 93%. Blut-Eosinophile schwache Leistung (AUC 0,65). Prospektive Validierung in DIVE-Kohorte (n=123) bestätigte Ergebnisse (FeNO AUC 0,77).</w:t>
      </w:r>
    </w:p>
    <w:p>
      <w:r>
        <w:rPr>
          <w:b/>
          <w:sz w:val="19"/>
        </w:rPr>
        <w:t xml:space="preserve">Übertragbarkeit: </w:t>
      </w:r>
      <w:r>
        <w:rPr>
          <w:sz w:val="19"/>
        </w:rPr>
        <w:t>Internationale Daten mit prospektiver Primärversorgungsvalidierung – Diagnostik systemunabhängig</w:t>
      </w:r>
    </w:p>
    <w:p>
      <w:r>
        <w:rPr>
          <w:color w:val="5A7D3A"/>
          <w:sz w:val="18"/>
        </w:rPr>
        <w:t>https://pubmed.ncbi.nlm.nih.gov/42743935/</w:t>
      </w:r>
    </w:p>
    <w:p>
      <w:pPr>
        <w:pStyle w:val="Heading1"/>
      </w:pPr>
      <w:r>
        <w:t>Aufgenommen am 22.09.2026</w:t>
      </w:r>
    </w:p>
    <w:p>
      <w:pPr>
        <w:pStyle w:val="Heading2"/>
      </w:pPr>
      <w:r>
        <w:t>Teletherapy-Einsatz in der Physiotherapie: deutsche Versorgungsforschung zu Barrieren und Förderfaktoren</w:t>
      </w:r>
    </w:p>
    <w:p>
      <w:r>
        <w:rPr>
          <w:i/>
          <w:color w:val="666666"/>
          <w:sz w:val="18"/>
        </w:rPr>
        <w:t>Michels T et al.  ·  JMIR Form Res  ·  21.09.2026  ·  PMID 42766842</w:t>
      </w:r>
    </w:p>
    <w:p>
      <w:r>
        <w:t>Querschnittsstudie von 458 Physiotherapeuten in Deutschland, die Barrieren und Förderfaktoren für die Implementierung von Teletherapie in der Praxis erfasste.</w:t>
      </w:r>
    </w:p>
    <w:p>
      <w:r>
        <w:rPr>
          <w:b/>
        </w:rPr>
        <w:t xml:space="preserve">Ergebnis: </w:t>
      </w:r>
      <w:r>
        <w:t>Nur 6,6 % der Teilnehmer hatten Teletherapie-Erfahrung; 87,3 % hielten Teletherapie für sinnvoll, aber nur 15,5 % fühlten sich ausreichend informiert. Häufigste Barrieren: Integration in Praxisroutinen, unzureichende Informationen zu rechtlichen Rahmenbedingungen und digitale Infrastruktur (Nennungen nicht weiter spezifiziert). Die Ergebnisse zeigen hohe Akzeptanz bei niedriger Nutzung und Informationsdefiziten.</w:t>
      </w:r>
    </w:p>
    <w:p>
      <w:r>
        <w:rPr>
          <w:b/>
          <w:sz w:val="19"/>
        </w:rPr>
        <w:t xml:space="preserve">Übertragbarkeit: </w:t>
      </w:r>
      <w:r>
        <w:rPr>
          <w:sz w:val="19"/>
        </w:rPr>
        <w:t>Deutsche Routinedaten aus der Physiotherapie; direkt auf das System übertragbar.</w:t>
      </w:r>
    </w:p>
    <w:p>
      <w:r>
        <w:rPr>
          <w:color w:val="5A7D3A"/>
          <w:sz w:val="18"/>
        </w:rPr>
        <w:t>https://pubmed.ncbi.nlm.nih.gov/42766842/</w:t>
      </w:r>
    </w:p>
    <w:p>
      <w:pPr>
        <w:pStyle w:val="Heading2"/>
      </w:pPr>
      <w:r>
        <w:t>Implementierung der elektronischen Patientenakte (ePA) in deutschen Arztpraxen: qualitative Frühevaluierung</w:t>
      </w:r>
    </w:p>
    <w:p>
      <w:r>
        <w:rPr>
          <w:i/>
          <w:color w:val="666666"/>
          <w:sz w:val="18"/>
        </w:rPr>
        <w:t>May S et al.  ·  J Med Internet Res  ·  21.09.2026  ·  PMID 42766713</w:t>
      </w:r>
    </w:p>
    <w:p>
      <w:r>
        <w:t>Qualitative Studie mit 49 semistrukturierten Interviews zu Implementierungsbarrieren und -förderfaktoren der ePA in ambulanten Praxen nach dem Rollout im Januar 2025.</w:t>
      </w:r>
    </w:p>
    <w:p>
      <w:r>
        <w:rPr>
          <w:b/>
        </w:rPr>
        <w:t xml:space="preserve">Ergebnis: </w:t>
      </w:r>
      <w:r>
        <w:t>Erleichterer: Führungsengagement, interne Kommunikation und Lernklima. Barrieren: technische Instabilität, heterogene Funktionalität von Praxismanagementsystemen, begrenzte Sektorübergreifung, unzureichendes Patientenbewusstsein. Implementierung stark abhängig von Organisationskapazität und Infrastrukturstabilität, nicht von professionellem Widerstand.</w:t>
      </w:r>
    </w:p>
    <w:p>
      <w:r>
        <w:rPr>
          <w:b/>
          <w:sz w:val="19"/>
        </w:rPr>
        <w:t xml:space="preserve">Übertragbarkeit: </w:t>
      </w:r>
      <w:r>
        <w:rPr>
          <w:sz w:val="19"/>
        </w:rPr>
        <w:t>Deutsche Routinedaten zur ePA-Implementierung; hochgradig systemrelevant für deutsches Versorgungssystem.</w:t>
      </w:r>
    </w:p>
    <w:p>
      <w:r>
        <w:rPr>
          <w:color w:val="5A7D3A"/>
          <w:sz w:val="18"/>
        </w:rPr>
        <w:t>https://pubmed.ncbi.nlm.nih.gov/42766713/</w:t>
      </w:r>
    </w:p>
    <w:p>
      <w:pPr>
        <w:pStyle w:val="Heading2"/>
      </w:pPr>
      <w:r>
        <w:t>Framework für klinische Bewertung von Large Language Models in der Patientenedukation</w:t>
      </w:r>
    </w:p>
    <w:p>
      <w:r>
        <w:rPr>
          <w:i/>
          <w:color w:val="666666"/>
          <w:sz w:val="18"/>
        </w:rPr>
        <w:t>Austria D et al.  ·  JMIR Form Res  ·  21.09.2026  ·  PMID 42766478</w:t>
      </w:r>
    </w:p>
    <w:p>
      <w:r>
        <w:t>Positions- und konzeptionelle Arbeit, die ein kliniker-zentriertes Evaluierungsframework (TAM-MCRS) für LLM-generierte Patientenedukation integriert Technology Acceptance Model und Medical Condition Regard Scale.</w:t>
      </w:r>
    </w:p>
    <w:p>
      <w:r>
        <w:rPr>
          <w:b/>
        </w:rPr>
        <w:t xml:space="preserve">Ergebnis: </w:t>
      </w:r>
      <w:r>
        <w:t>Das Framework kombiniert Usefulness/Completeness mit Ease of Use/Appropriateness und erfasst dabei Evaluator-Attitudinalvarianz durch MCRS als Kovariate. Ziel ist objektive, klinisch realistische und disparity-responsive Evidenz zur Qualität von LLM-generierten Unterlagen für Patientenbildung.</w:t>
      </w:r>
    </w:p>
    <w:p>
      <w:r>
        <w:rPr>
          <w:b/>
          <w:sz w:val="19"/>
        </w:rPr>
        <w:t xml:space="preserve">Übertragbarkeit: </w:t>
      </w:r>
      <w:r>
        <w:rPr>
          <w:sz w:val="19"/>
        </w:rPr>
        <w:t>Theoretischer Ansatz systemunabhängig, aber Methodenentwicklung US-fokussiert; nur bedingt übertragbar.</w:t>
      </w:r>
    </w:p>
    <w:p>
      <w:r>
        <w:rPr>
          <w:color w:val="5A7D3A"/>
          <w:sz w:val="18"/>
        </w:rPr>
        <w:t>https://pubmed.ncbi.nlm.nih.gov/42766478/</w:t>
      </w:r>
    </w:p>
    <w:p>
      <w:pPr>
        <w:pStyle w:val="Heading2"/>
      </w:pPr>
      <w:r>
        <w:t>Kontextfaktoren und Lernbedarfe bei Leitlinienentwicklung: qualitative Multiplenfall-Studie</w:t>
      </w:r>
    </w:p>
    <w:p>
      <w:r>
        <w:rPr>
          <w:i/>
          <w:color w:val="666666"/>
          <w:sz w:val="18"/>
        </w:rPr>
        <w:t>de Mortier CA et al.  ·  Med Teach  ·  21.09.2026  ·  PMID 42766408</w:t>
      </w:r>
    </w:p>
    <w:p>
      <w:r>
        <w:t>Qualitative Längsschnittstudie mit 18 Panelmitgliedern und 10 Projektleitern in 5 niederländischen Leitlinienprojekten; Analyse, welche kontextuellen Faktoren die Lernbedarfe in der Guideline-Entwicklung prägen.</w:t>
      </w:r>
    </w:p>
    <w:p>
      <w:r>
        <w:rPr>
          <w:b/>
        </w:rPr>
        <w:t xml:space="preserve">Ergebnis: </w:t>
      </w:r>
      <w:r>
        <w:t>Drei interaktive Themen beeinflussen Lernbedarfe: Leitlinienthema (Zusammensetzung, Methodik, Evidenzunsicherheit), Partizipationsdynamiken (Hierarchie, Sicherheit), Aufgabenverteilung. Methodische Kompetenz allein genügt nicht; Lernbedarfe entstehen aus Kombination aller drei Faktoren. Empfehlung: flexible, kontextsensitive und rollenpezifische Bildungsinitiativen.</w:t>
      </w:r>
    </w:p>
    <w:p>
      <w:r>
        <w:rPr>
          <w:b/>
          <w:sz w:val="19"/>
        </w:rPr>
        <w:t xml:space="preserve">Übertragbarkeit: </w:t>
      </w:r>
      <w:r>
        <w:rPr>
          <w:sz w:val="19"/>
        </w:rPr>
        <w:t>Niederlande, Versorgungsforschungs-Setting; gut übertragbar auf deutsches System zur Leitlinienentwicklung.</w:t>
      </w:r>
    </w:p>
    <w:p>
      <w:r>
        <w:rPr>
          <w:color w:val="5A7D3A"/>
          <w:sz w:val="18"/>
        </w:rPr>
        <w:t>https://pubmed.ncbi.nlm.nih.gov/42766408/</w:t>
      </w:r>
    </w:p>
    <w:p>
      <w:pPr>
        <w:pStyle w:val="Heading2"/>
      </w:pPr>
      <w:r>
        <w:t>Länderverglichende Forschungsinfrastruktur für Diabetes-Versorgung im ländlichen Raum</w:t>
      </w:r>
    </w:p>
    <w:p>
      <w:r>
        <w:rPr>
          <w:i/>
          <w:color w:val="666666"/>
          <w:sz w:val="18"/>
        </w:rPr>
        <w:t>Murfet G et al.  ·  Glob Health Action  ·  21.09.2026  ·  PMID 42765135</w:t>
      </w:r>
    </w:p>
    <w:p>
      <w:r>
        <w:t>Konzeptuelle Positionspapier, das ein neues International Consortium for Rural Diabetes Research (ICRDR) vorstellt, um fragmentierte Diabetes-Forschung in ländlichen Regionen zu koordinieren.</w:t>
      </w:r>
    </w:p>
    <w:p>
      <w:r>
        <w:rPr>
          <w:b/>
        </w:rPr>
        <w:t xml:space="preserve">Ergebnis: </w:t>
      </w:r>
      <w:r>
        <w:t>Kernaussage: Ländliche Diabetes-Versorgungsforschung bleibt isoliert und stützt sich auf urbane Evidenz; koordinierte internationale Infrastruktur mit gemeinsamen Prioritäten, Methoden und Outcome-Maßstäben ist erforderlich. Das ICRDR adressiert Zugangsbarrien (Fachkräftemangel, Isolation, fragmentierte Services) durch Multicentre-Studien und Kapazitätsaufbau.</w:t>
      </w:r>
    </w:p>
    <w:p>
      <w:r>
        <w:rPr>
          <w:b/>
          <w:sz w:val="19"/>
        </w:rPr>
        <w:t xml:space="preserve">Übertragbarkeit: </w:t>
      </w:r>
      <w:r>
        <w:rPr>
          <w:sz w:val="19"/>
        </w:rPr>
        <w:t>Konzeptionell und methodisch international orientiert; hilft deutschem System, Evidenzlücken in ländlichen Regionen zu schließen.</w:t>
      </w:r>
    </w:p>
    <w:p>
      <w:r>
        <w:rPr>
          <w:color w:val="5A7D3A"/>
          <w:sz w:val="18"/>
        </w:rPr>
        <w:t>https://pubmed.ncbi.nlm.nih.gov/42765135/</w:t>
      </w:r>
    </w:p>
    <w:p>
      <w:pPr>
        <w:pStyle w:val="Heading2"/>
      </w:pPr>
      <w:r>
        <w:t>Kernoutcome-Set für Shared-Decision-Making-Interventionen: Entwicklungsprotokoll</w:t>
      </w:r>
    </w:p>
    <w:p>
      <w:r>
        <w:rPr>
          <w:i/>
          <w:color w:val="666666"/>
          <w:sz w:val="18"/>
        </w:rPr>
        <w:t>Hoffmann C et al.  ·  BMJ Open  ·  15.09.2026  ·  PMID 42744360</w:t>
      </w:r>
    </w:p>
    <w:p>
      <w:r>
        <w:t>Studienprotokoll zur Entwicklung eines Core Outcome Set (COS) für die Evaluation von Shared-Decision-Making-Interventionen mittels Delphi-Survey und Konsensuskonferenz.</w:t>
      </w:r>
    </w:p>
    <w:p>
      <w:r>
        <w:rPr>
          <w:b/>
        </w:rPr>
        <w:t xml:space="preserve">Ergebnis: </w:t>
      </w:r>
      <w:r>
        <w:t>Geplante Struktur: Schritt 1: Erstellung einer langen Kandidaten-Outcome-Liste durch Literaturanalyse und qualitative Interviews (mind. 20 Stakeholder). Schritt 2: Delphi-Survey mit mind. 150 internationalen Teilnehmern (Profis, Patienten) in zwei Runden zur Priorisierung. Schritt 3: Konsensus per modified nominal group technique. Laufzeit Juni 2025 bis September 2026; Ergebnisse erwartungsgemäß für standardisierte Evaluationspraxis verfügbar.</w:t>
      </w:r>
    </w:p>
    <w:p>
      <w:r>
        <w:rPr>
          <w:b/>
          <w:sz w:val="19"/>
        </w:rPr>
        <w:t xml:space="preserve">Übertragbarkeit: </w:t>
      </w:r>
      <w:r>
        <w:rPr>
          <w:sz w:val="19"/>
        </w:rPr>
        <w:t>Britische Studienkoordination; Shared Decision Making ist international etabliertes Konzept; methodisch auf deutsche SDM-Forschung anwendbar.</w:t>
      </w:r>
    </w:p>
    <w:p>
      <w:r>
        <w:rPr>
          <w:color w:val="5A7D3A"/>
          <w:sz w:val="18"/>
        </w:rPr>
        <w:t>https://pubmed.ncbi.nlm.nih.gov/42744360/</w:t>
      </w:r>
    </w:p>
    <w:p>
      <w:pPr>
        <w:pStyle w:val="Heading1"/>
      </w:pPr>
      <w:r>
        <w:t>Aufgenommen am 21.09.2026</w:t>
      </w:r>
    </w:p>
    <w:p>
      <w:pPr>
        <w:pStyle w:val="Heading2"/>
      </w:pPr>
      <w:r>
        <w:t>Geburtshilfe-Standardisierung: Ballonkatheter und Wehenmuster nach Einleitung</w:t>
      </w:r>
    </w:p>
    <w:p>
      <w:r>
        <w:rPr>
          <w:i/>
          <w:color w:val="666666"/>
          <w:sz w:val="18"/>
        </w:rPr>
        <w:t>Baboeuf A et al.  ·  J Gynecol Obstet Hum Reprod  ·  19.09.2026  ·  PMID 42762855</w:t>
      </w:r>
    </w:p>
    <w:p>
      <w:r>
        <w:t>Retrospektive Evaluierung eines standardisierten Induktionsprotokolls mit Ballonkatheter zur Zervixreifung als Erstlinientherapie vs. freie Wahl in französischer Tertiärklinik.</w:t>
      </w:r>
    </w:p>
    <w:p>
      <w:r>
        <w:rPr>
          <w:b/>
        </w:rPr>
        <w:t xml:space="preserve">Ergebnis: </w:t>
      </w:r>
      <w:r>
        <w:t>Vaginale Geburt innerhalb 24h: 27,3% (Protokoll) vs. 34,0% (Baseline), p=0,18; nächtliche Epiduralanalgesie signifikant weniger häufig nach Protokoll (35,6% vs. 46,2%, p=0,008); 77,4% der Frauen mit Gesamtzufriedenheit einverstanden.</w:t>
      </w:r>
    </w:p>
    <w:p>
      <w:r>
        <w:rPr>
          <w:b/>
          <w:sz w:val="19"/>
        </w:rPr>
        <w:t xml:space="preserve">Übertragbarkeit: </w:t>
      </w:r>
      <w:r>
        <w:rPr>
          <w:sz w:val="19"/>
        </w:rPr>
        <w:t>Französische Tertiärklinik, übertragbare Implementierungsfrage, aber begrenzte klinische Effekte</w:t>
      </w:r>
    </w:p>
    <w:p>
      <w:r>
        <w:rPr>
          <w:color w:val="5A7D3A"/>
          <w:sz w:val="18"/>
        </w:rPr>
        <w:t>https://pubmed.ncbi.nlm.nih.gov/42762855/</w:t>
      </w:r>
    </w:p>
    <w:p>
      <w:pPr>
        <w:pStyle w:val="Heading2"/>
      </w:pPr>
      <w:r>
        <w:t>Palliativversorgungsqualität für Patienten mit schweren psychischen Störungen</w:t>
      </w:r>
    </w:p>
    <w:p>
      <w:r>
        <w:rPr>
          <w:i/>
          <w:color w:val="666666"/>
          <w:sz w:val="18"/>
        </w:rPr>
        <w:t>Bøndergaard K et al.  ·  Omega (Westport)  ·  19.09.2026  ·  PMID 42762069</w:t>
      </w:r>
    </w:p>
    <w:p>
      <w:r>
        <w:t>Querschnitts-Fragebogenstudie mit dänischen Hausärzten und Palliativmedizinern zu Qualität der Palliativbetreuung bei verstorbenen Patienten mit schweren psychischen Störungen.</w:t>
      </w:r>
    </w:p>
    <w:p>
      <w:r>
        <w:rPr>
          <w:b/>
        </w:rPr>
        <w:t xml:space="preserve">Ergebnis: </w:t>
      </w:r>
      <w:r>
        <w:t>123 Fragebogen von 162 (76% Rücklaufquote); die meisten Verläufe als gut oder sehr gut bewertet; qualitative Analyse enthüllte drei Themen: Zusammenarbeit/Timing, Kommunikation/Beziehungen, Komplexität; Koordination und Kommunikation bei Lebensende-Entscheidungen teilweise herausfordernd.</w:t>
      </w:r>
    </w:p>
    <w:p>
      <w:r>
        <w:rPr>
          <w:b/>
          <w:sz w:val="19"/>
        </w:rPr>
        <w:t xml:space="preserve">Übertragbarkeit: </w:t>
      </w:r>
      <w:r>
        <w:rPr>
          <w:sz w:val="19"/>
        </w:rPr>
        <w:t>Dänemark, skandinavisches steuerfinanziertes System mit Hausarztfokus</w:t>
      </w:r>
    </w:p>
    <w:p>
      <w:r>
        <w:rPr>
          <w:color w:val="5A7D3A"/>
          <w:sz w:val="18"/>
        </w:rPr>
        <w:t>https://pubmed.ncbi.nlm.nih.gov/42762069/</w:t>
      </w:r>
    </w:p>
    <w:p>
      <w:pPr>
        <w:pStyle w:val="Heading2"/>
      </w:pPr>
      <w:r>
        <w:t>Angiotensin-Inhibitoren vor elektiver Chirurgie: RCT-Absetzen vs. Fortführen</w:t>
      </w:r>
    </w:p>
    <w:p>
      <w:r>
        <w:rPr>
          <w:i/>
          <w:color w:val="666666"/>
          <w:sz w:val="18"/>
        </w:rPr>
        <w:t>Scott IA et al.  ·  J Hosp Med  ·  19.09.2026  ·  PMID 42762066</w:t>
      </w:r>
    </w:p>
    <w:p>
      <w:r>
        <w:t>Single-Center-RCT zu kardiovaskulären Komplikationen nach elektiver, nicht-kardischer Chirurgie unter Fortführung vs. 24h-Absetzen von ACE-Inhibitoren/ARBs.</w:t>
      </w:r>
    </w:p>
    <w:p>
      <w:r>
        <w:rPr>
          <w:b/>
        </w:rPr>
        <w:t xml:space="preserve">Ergebnis: </w:t>
      </w:r>
      <w:r>
        <w:t>667 Patienten randomisiert (325 Fortführung, 313 Absetzen); primärer Outcome MACE: 2,8% vs. 2,9% (Differenz 0,1%, 95% CI −2,5% bis 2,8%, p=1,00); intraop. Hypotonie 63,5% vs. 60,7%, AKI 7,4% vs. 4,8%; keine signifikanten Unterschiede; Absetzen reduzierte nicht MACE, Hypotonie oder AKI.</w:t>
      </w:r>
    </w:p>
    <w:p>
      <w:r>
        <w:rPr>
          <w:b/>
          <w:sz w:val="19"/>
        </w:rPr>
        <w:t xml:space="preserve">Übertragbarkeit: </w:t>
      </w:r>
      <w:r>
        <w:rPr>
          <w:sz w:val="19"/>
        </w:rPr>
        <w:t>Australische Tertiärklinik, aber klinische Prozessfrage systemunabhängig</w:t>
      </w:r>
    </w:p>
    <w:p>
      <w:r>
        <w:rPr>
          <w:color w:val="5A7D3A"/>
          <w:sz w:val="18"/>
        </w:rPr>
        <w:t>https://pubmed.ncbi.nlm.nih.gov/42762066/</w:t>
      </w:r>
    </w:p>
    <w:p>
      <w:pPr>
        <w:pStyle w:val="Heading2"/>
      </w:pPr>
      <w:r>
        <w:t>Frühe Krebsinzidenz in Nordischen Ländern 2003–2022 mit Projektion bis 2050</w:t>
      </w:r>
    </w:p>
    <w:p>
      <w:r>
        <w:rPr>
          <w:i/>
          <w:color w:val="666666"/>
          <w:sz w:val="18"/>
        </w:rPr>
        <w:t>Johansson AL et al.  ·  Lancet Reg Health Eur  ·  12.09.2026  ·  PMID 42761845</w:t>
      </w:r>
    </w:p>
    <w:p>
      <w:r>
        <w:t>Bevölkerungsbasierte Trendstudie der Inzidenz früher Krebserkrankungen (Alter 20–49) in Nordischen Ländern über 20 Jahre mit Vorhersagen bis 2050.</w:t>
      </w:r>
    </w:p>
    <w:p>
      <w:r>
        <w:rPr>
          <w:b/>
        </w:rPr>
        <w:t xml:space="preserve">Ergebnis: </w:t>
      </w:r>
      <w:r>
        <w:t>Signifikante Inzidenzzunahme bei 12 von 18 Krebsarten; Darmkrebs &lt;35 Jahren höchster EAPC (&gt;2%), mit 9.174 zusätzlichen Fällen (2003–2007 zu 2018–2022: 47.491 zu 56.665); regionale Variation Appalachien und Südosten USA.</w:t>
      </w:r>
    </w:p>
    <w:p>
      <w:r>
        <w:rPr>
          <w:b/>
          <w:sz w:val="19"/>
        </w:rPr>
        <w:t xml:space="preserve">Übertragbarkeit: </w:t>
      </w:r>
      <w:r>
        <w:rPr>
          <w:sz w:val="19"/>
        </w:rPr>
        <w:t>Nordische Länder, vergleichbare Gesundheitssysteme mit guten Datenregistern</w:t>
      </w:r>
    </w:p>
    <w:p>
      <w:r>
        <w:rPr>
          <w:color w:val="5A7D3A"/>
          <w:sz w:val="18"/>
        </w:rPr>
        <w:t>https://pubmed.ncbi.nlm.nih.gov/42761845/</w:t>
      </w:r>
    </w:p>
    <w:p>
      <w:pPr>
        <w:pStyle w:val="Heading2"/>
      </w:pPr>
      <w:r>
        <w:t>Darmkrebsscreening bei sexuellen Minderheiten nach US-Guidelines 2021</w:t>
      </w:r>
    </w:p>
    <w:p>
      <w:r>
        <w:rPr>
          <w:i/>
          <w:color w:val="666666"/>
          <w:sz w:val="18"/>
        </w:rPr>
        <w:t>George L et al.  ·  AJPM Focus  ·  12.05.2026  ·  PMID 42761516</w:t>
      </w:r>
    </w:p>
    <w:p>
      <w:r>
        <w:t>Querschnittsanalyse der Screening-Compliance für Darmkrebs bei sexuellen Minderheiten nach Aktualisierung der USPSTF-Richtlinien (2021), USA 2022.</w:t>
      </w:r>
    </w:p>
    <w:p>
      <w:r>
        <w:rPr>
          <w:b/>
        </w:rPr>
        <w:t xml:space="preserve">Ergebnis: </w:t>
      </w:r>
      <w:r>
        <w:t>Screening-Rate insgesamt: 69,0% (gay/lesbian), 62,7% (bisexual), 58,4% (andere Orientierung), 68,8% (heterosexuell); Personen mit anderer Orientierung signifikant niedriger als heterosexuell (aPR=0,90, 95% CI 0,84–0,97); Dispariät besonders in Alter 65–75 und Frauen.</w:t>
      </w:r>
    </w:p>
    <w:p>
      <w:r>
        <w:rPr>
          <w:b/>
          <w:sz w:val="19"/>
        </w:rPr>
        <w:t xml:space="preserve">Übertragbarkeit: </w:t>
      </w:r>
      <w:r>
        <w:rPr>
          <w:sz w:val="19"/>
        </w:rPr>
        <w:t>USA, aber Screeningdisparität bei Minderheiten systemunabhängig relevant</w:t>
      </w:r>
    </w:p>
    <w:p>
      <w:r>
        <w:rPr>
          <w:color w:val="5A7D3A"/>
          <w:sz w:val="18"/>
        </w:rPr>
        <w:t>https://pubmed.ncbi.nlm.nih.gov/42761516/</w:t>
      </w:r>
    </w:p>
    <w:p>
      <w:pPr>
        <w:pStyle w:val="Heading2"/>
      </w:pPr>
      <w:r>
        <w:t>Kulturelle Diabetes-Schulung: Kosteneffektivität für Marshallese-Bevölkerung</w:t>
      </w:r>
    </w:p>
    <w:p>
      <w:r>
        <w:rPr>
          <w:i/>
          <w:color w:val="666666"/>
          <w:sz w:val="18"/>
        </w:rPr>
        <w:t>Lamprecht-Carson D et al.  ·  Diabetes Obes Metab  ·  17.09.2026  ·  PMID 42755138</w:t>
      </w:r>
    </w:p>
    <w:p>
      <w:r>
        <w:t>Markov-Modell zur Kosteneffektivität eines kulturell angepassten Diabetes-Selbstmanagement-Programms vs. Standard-DSME für Marshallese-Erwachsene mit Typ-2-Diabetes.</w:t>
      </w:r>
    </w:p>
    <w:p>
      <w:r>
        <w:rPr>
          <w:b/>
        </w:rPr>
        <w:t xml:space="preserve">Ergebnis: </w:t>
      </w:r>
      <w:r>
        <w:t>Kulturell angepasstes Programm cost-effective mit ICER von 3.083 Dollar pro QALY; in 87,1% der Simulationen bevorzugte Strategie bei WTP 50.000 Dollar pro QALY; bescheidene aber relevante Unterschiede zwischen Interventionszenarien.</w:t>
      </w:r>
    </w:p>
    <w:p>
      <w:r>
        <w:rPr>
          <w:b/>
          <w:sz w:val="19"/>
        </w:rPr>
        <w:t xml:space="preserve">Übertragbarkeit: </w:t>
      </w:r>
      <w:r>
        <w:rPr>
          <w:sz w:val="19"/>
        </w:rPr>
        <w:t>USA-Daten, aber Fragestellung zur Kultursensitivität systemunabhängig transferierbar</w:t>
      </w:r>
    </w:p>
    <w:p>
      <w:r>
        <w:rPr>
          <w:color w:val="5A7D3A"/>
          <w:sz w:val="18"/>
        </w:rPr>
        <w:t>https://pubmed.ncbi.nlm.nih.gov/42755138/</w:t>
      </w:r>
    </w:p>
    <w:p>
      <w:pPr>
        <w:pStyle w:val="Heading1"/>
      </w:pPr>
      <w:r>
        <w:t>Aufgenommen am 20.09.2026</w:t>
      </w:r>
    </w:p>
    <w:p>
      <w:pPr>
        <w:pStyle w:val="Heading2"/>
      </w:pPr>
      <w:r>
        <w:t>Workplace-Health-Promotion in Pflegeheimen: qualitative Prozessevaluation</w:t>
      </w:r>
    </w:p>
    <w:p>
      <w:r>
        <w:rPr>
          <w:i/>
          <w:color w:val="666666"/>
          <w:sz w:val="18"/>
        </w:rPr>
        <w:t>Czakert J et al.  ·  Front Public Health  ·  04.09.2026  ·  PMID 42761123</w:t>
      </w:r>
    </w:p>
    <w:p>
      <w:r>
        <w:t>Qualitative Prozessevaluation zur Entwicklung und Implementierung von drei WHP-Workshops in einem Pilotheim nach RE-AIM-Framework.</w:t>
      </w:r>
    </w:p>
    <w:p>
      <w:r>
        <w:rPr>
          <w:b/>
        </w:rPr>
        <w:t xml:space="preserve">Ergebnis: </w:t>
      </w:r>
      <w:r>
        <w:t>Entwicklung aus sieben Phasen. Etwa ein Drittel der Teilnehmenden aktiv involviert, andere passiv oder resistiv. Engagement variabel, Schlüsselhemmnisse: Motivation, wahrgenommene Relevanz, Gruppendynamik, Fatigue, Sprachbarrieren. Zentral: organisatorische Vorbereitung und Partizipation.</w:t>
      </w:r>
    </w:p>
    <w:p>
      <w:r>
        <w:rPr>
          <w:b/>
          <w:sz w:val="19"/>
        </w:rPr>
        <w:t xml:space="preserve">Übertragbarkeit: </w:t>
      </w:r>
      <w:r>
        <w:rPr>
          <w:sz w:val="19"/>
        </w:rPr>
        <w:t>Deutschland, Langzeitpflegesektor, hohe Relevanz für Implementierungspraxis</w:t>
      </w:r>
    </w:p>
    <w:p>
      <w:r>
        <w:rPr>
          <w:color w:val="5A7D3A"/>
          <w:sz w:val="18"/>
        </w:rPr>
        <w:t>https://pubmed.ncbi.nlm.nih.gov/42761123/</w:t>
      </w:r>
    </w:p>
    <w:p>
      <w:pPr>
        <w:pStyle w:val="Heading2"/>
      </w:pPr>
      <w:r>
        <w:t>Regionale Disparitäten Zahngesundheit Deutschland</w:t>
      </w:r>
    </w:p>
    <w:p>
      <w:r>
        <w:rPr>
          <w:i/>
          <w:color w:val="666666"/>
          <w:sz w:val="18"/>
        </w:rPr>
        <w:t>Gortschakow J et al.  ·  J Clin Periodontol  ·  18.09.2026  ·  PMID 42760791</w:t>
      </w:r>
    </w:p>
    <w:p>
      <w:r>
        <w:t>Bevölkerungsstudie mit 184.871 Erwachsenen untersucht Prävalenz von Zahnlosigkeit und Taschentiefen bundesweit mittels klinischer Untersuchung.</w:t>
      </w:r>
    </w:p>
    <w:p>
      <w:r>
        <w:rPr>
          <w:b/>
        </w:rPr>
        <w:t xml:space="preserve">Ergebnis: </w:t>
      </w:r>
      <w:r>
        <w:t>Zahnlosigkeitsprävalenz: 1,7 % (95%-KI 1,6–1,9). Mittlere Taschentiefe: 1,89 mm (1,87–1,91). Deutliche regionale Disparitäten von 1,3 % (Augsburg/Regensburg) bis 2,3 % (Neubrandenburg).</w:t>
      </w:r>
    </w:p>
    <w:p>
      <w:r>
        <w:rPr>
          <w:b/>
          <w:sz w:val="19"/>
        </w:rPr>
        <w:t xml:space="preserve">Übertragbarkeit: </w:t>
      </w:r>
      <w:r>
        <w:rPr>
          <w:sz w:val="19"/>
        </w:rPr>
        <w:t>Deutsche Routinedaten aus Kohorte, exzellente Übertragbarkeit</w:t>
      </w:r>
    </w:p>
    <w:p>
      <w:r>
        <w:rPr>
          <w:color w:val="5A7D3A"/>
          <w:sz w:val="18"/>
        </w:rPr>
        <w:t>https://pubmed.ncbi.nlm.nih.gov/42760791/</w:t>
      </w:r>
    </w:p>
    <w:p>
      <w:pPr>
        <w:pStyle w:val="Heading2"/>
      </w:pPr>
      <w:r>
        <w:t>Arbeitsbelastung und Berufsverbleib in Gesundheitsberufen</w:t>
      </w:r>
    </w:p>
    <w:p>
      <w:r>
        <w:rPr>
          <w:i/>
          <w:color w:val="666666"/>
          <w:sz w:val="18"/>
        </w:rPr>
        <w:t>Andersson Hammar I et al.  ·  BMC Health Serv Res  ·  17.09.2026  ·  PMID 42760563</w:t>
      </w:r>
    </w:p>
    <w:p>
      <w:r>
        <w:t>Längsschnittstudie untersuchte Zusammenhänge zwischen Arbeitserfahrungen, Gesundheit und Verbleibsabsicht bei Fachpersonen drei Jahre nach Berufsstart.</w:t>
      </w:r>
    </w:p>
    <w:p>
      <w:r>
        <w:rPr>
          <w:b/>
        </w:rPr>
        <w:t xml:space="preserve">Ergebnis: </w:t>
      </w:r>
      <w:r>
        <w:t>Höhere Arbeitszufriedenheit war mit besserer Gesundheit und deutlich gestärkter Absicht zum Verbleib in der Profession assoziiert. Die 30–36-Jährigen zeigten niedrigere Verbleibsabsicht als jüngere und ältere Kohorten.</w:t>
      </w:r>
    </w:p>
    <w:p>
      <w:r>
        <w:rPr>
          <w:b/>
          <w:sz w:val="19"/>
        </w:rPr>
        <w:t xml:space="preserve">Übertragbarkeit: </w:t>
      </w:r>
      <w:r>
        <w:rPr>
          <w:sz w:val="19"/>
        </w:rPr>
        <w:t>Schweden, gut übertragbar auf deutsches Gesundheitssystem und Arbeitskontexte</w:t>
      </w:r>
    </w:p>
    <w:p>
      <w:r>
        <w:rPr>
          <w:color w:val="5A7D3A"/>
          <w:sz w:val="18"/>
        </w:rPr>
        <w:t>https://pubmed.ncbi.nlm.nih.gov/42760563/</w:t>
      </w:r>
    </w:p>
    <w:p>
      <w:pPr>
        <w:pStyle w:val="Heading2"/>
      </w:pPr>
      <w:r>
        <w:t>Apotheker-Intervention bei koronaren Patienten: Medication-Review-Studie</w:t>
      </w:r>
    </w:p>
    <w:p>
      <w:r>
        <w:rPr>
          <w:i/>
          <w:color w:val="666666"/>
          <w:sz w:val="18"/>
        </w:rPr>
        <w:t>Östbring MJ et al.  ·  BMC Health Serv Res  ·  15.09.2026  ·  PMID 42760559</w:t>
      </w:r>
    </w:p>
    <w:p>
      <w:r>
        <w:t>Prozessevaluation eines randomisierten Trials zu pharmazeutisch-gesteuerter Adhärence-Intervention mittels Motivierender Gesprächsführung bei Herzkranken.</w:t>
      </w:r>
    </w:p>
    <w:p>
      <w:r>
        <w:rPr>
          <w:b/>
        </w:rPr>
        <w:t xml:space="preserve">Ergebnis: </w:t>
      </w:r>
      <w:r>
        <w:t>Klinische Apotheker identifizierten durchschnittlich 4,3 medikationsbezogene Probleme pro Patient. In 194 von 218 bekannten Fällen wurde das Problem gelöst/verbessert. 52,8 % der Interventionsgruppe vs. 31,0 % der Kontrollgruppe verschoben sich zu akzeptierenderer Arzneimittelhaltung (p = 0,051).</w:t>
      </w:r>
    </w:p>
    <w:p>
      <w:r>
        <w:rPr>
          <w:b/>
          <w:sz w:val="19"/>
        </w:rPr>
        <w:t xml:space="preserve">Übertragbarkeit: </w:t>
      </w:r>
      <w:r>
        <w:rPr>
          <w:sz w:val="19"/>
        </w:rPr>
        <w:t>Schweden, Sozialversicherungssystem, pharmazeutische Versorgungsrollen</w:t>
      </w:r>
    </w:p>
    <w:p>
      <w:r>
        <w:rPr>
          <w:color w:val="5A7D3A"/>
          <w:sz w:val="18"/>
        </w:rPr>
        <w:t>https://pubmed.ncbi.nlm.nih.gov/42760559/</w:t>
      </w:r>
    </w:p>
    <w:p>
      <w:pPr>
        <w:pStyle w:val="Heading2"/>
      </w:pPr>
      <w:r>
        <w:t>Psychische Gesundheit peripartal: Screening-Barrieren in Indien</w:t>
      </w:r>
    </w:p>
    <w:p>
      <w:r>
        <w:rPr>
          <w:i/>
          <w:color w:val="666666"/>
          <w:sz w:val="18"/>
        </w:rPr>
        <w:t>Basu P et al.  ·  BMC Health Serv Res  ·  03.08.2026  ·  PMID 42760554</w:t>
      </w:r>
    </w:p>
    <w:p>
      <w:r>
        <w:t>Qualitative Studie zu Hemmnissen und Facilitatoren von perinataler psychischer Gesundheitsscreening aus Perspektive von Frauen und Angehörigen des Gesundheitswesens.</w:t>
      </w:r>
    </w:p>
    <w:p>
      <w:r>
        <w:rPr>
          <w:b/>
        </w:rPr>
        <w:t xml:space="preserve">Ergebnis: </w:t>
      </w:r>
      <w:r>
        <w:t>Facilitatoren: etabliertes Referralsystem, Medikamentenverfügbarkeit, Datenschutz. Barrieren: fragmentierte Services, hohe Arbeitsbelastung, Stigma, unzureichende Schulung, mangelndes Vertrauen. Familienpräsenz behinderte offene Diskussionen.</w:t>
      </w:r>
    </w:p>
    <w:p>
      <w:r>
        <w:rPr>
          <w:b/>
          <w:sz w:val="19"/>
        </w:rPr>
        <w:t xml:space="preserve">Übertragbarkeit: </w:t>
      </w:r>
      <w:r>
        <w:rPr>
          <w:sz w:val="19"/>
        </w:rPr>
        <w:t>Indien; Fragestellung systemunabhängig, aber Übertragbarkeit limitiert durch andere Ressourcenlage</w:t>
      </w:r>
    </w:p>
    <w:p>
      <w:r>
        <w:rPr>
          <w:color w:val="5A7D3A"/>
          <w:sz w:val="18"/>
        </w:rPr>
        <w:t>https://pubmed.ncbi.nlm.nih.gov/42760554/</w:t>
      </w:r>
    </w:p>
    <w:p>
      <w:pPr>
        <w:pStyle w:val="Heading2"/>
      </w:pPr>
      <w:r>
        <w:t>Gestationsdiabetes Südlichasiatische Frauen: PPIE-Insights</w:t>
      </w:r>
    </w:p>
    <w:p>
      <w:r>
        <w:rPr>
          <w:i/>
          <w:color w:val="666666"/>
          <w:sz w:val="18"/>
        </w:rPr>
        <w:t>Dapre E et al.  ·  NIHR Open Res  ·  03.09.2026  ·  PMID 42750677</w:t>
      </w:r>
    </w:p>
    <w:p>
      <w:r>
        <w:t>Patient- und Public-Involvement-Engagement-Studie mit südlichasiatischen Frauen zur Verbesserung der Adhärenz in Ernährungsintervention bei Gestationsdiabetes.</w:t>
      </w:r>
    </w:p>
    <w:p>
      <w:r>
        <w:rPr>
          <w:b/>
        </w:rPr>
        <w:t xml:space="preserve">Ergebnis: </w:t>
      </w:r>
      <w:r>
        <w:t>17 Frauen identifizierten drei Schlüsselprobleme: Vulnerabilität (Vertrauensmangel, Kontrollverlust), Zugänglichkeit (flexible Formate, finanzielle Unterstützung), Mentale Belastung (emotionales Wohlbefinden, Familieneinfluss). Empfehlungen: familienbasierte Essensplanung, visuelle Guides, psychosoziale Unterstützung.</w:t>
      </w:r>
    </w:p>
    <w:p>
      <w:r>
        <w:rPr>
          <w:b/>
          <w:sz w:val="19"/>
        </w:rPr>
        <w:t xml:space="preserve">Übertragbarkeit: </w:t>
      </w:r>
      <w:r>
        <w:rPr>
          <w:sz w:val="19"/>
        </w:rPr>
        <w:t>Qualitative UK-Studie; Fragestellung zu Barrieren und Facilitatoren systemunabhängig</w:t>
      </w:r>
    </w:p>
    <w:p>
      <w:r>
        <w:rPr>
          <w:color w:val="5A7D3A"/>
          <w:sz w:val="18"/>
        </w:rPr>
        <w:t>https://pubmed.ncbi.nlm.nih.gov/42750677/</w:t>
      </w:r>
    </w:p>
    <w:p>
      <w:pPr>
        <w:pStyle w:val="Heading1"/>
      </w:pPr>
      <w:r>
        <w:t>Aufgenommen am 19.09.2026</w:t>
      </w:r>
    </w:p>
    <w:p>
      <w:pPr>
        <w:pStyle w:val="Heading2"/>
      </w:pPr>
      <w:r>
        <w:t>Verbesserung von Peer-Support für Mütter mit HIV in Kenia</w:t>
      </w:r>
    </w:p>
    <w:p>
      <w:r>
        <w:rPr>
          <w:i/>
          <w:color w:val="666666"/>
          <w:sz w:val="18"/>
        </w:rPr>
        <w:t>Carlucci JG et al.  ·  PLOS Glob Public Health  ·  18.09.2026  ·  PMID 42758698</w:t>
      </w:r>
    </w:p>
    <w:p>
      <w:r>
        <w:t>Qualitative Interviews mit 16 Mentor Mothers und 36 Frauen mit HIV in Westkenias PMTCT-Programmen zur Verbesserung von Peer-Support-Diensten.</w:t>
      </w:r>
    </w:p>
    <w:p>
      <w:r>
        <w:rPr>
          <w:b/>
        </w:rPr>
        <w:t xml:space="preserve">Ergebnis: </w:t>
      </w:r>
      <w:r>
        <w:t>Beide Gruppen befürworteten Risikostratifizierung: intensive Services für Hochrisiko-Mütter, weniger intensive für Niedrigrisiko. Zentral: empathische Mentoring-Beziehungen mit geteilten Erfahrungen; nötig aber bessere Aufgabendefinition, Kapazitätsaufbau, faire Kompensation und Ressourcen für ökonomische Barrieren.</w:t>
      </w:r>
    </w:p>
    <w:p>
      <w:r>
        <w:rPr>
          <w:b/>
          <w:sz w:val="19"/>
        </w:rPr>
        <w:t xml:space="preserve">Übertragbarkeit: </w:t>
      </w:r>
      <w:r>
        <w:rPr>
          <w:sz w:val="19"/>
        </w:rPr>
        <w:t>Kenia; Modell zu Peer-Support-Effektivität auf andere LMIC-Kontexte übertragbar</w:t>
      </w:r>
    </w:p>
    <w:p>
      <w:r>
        <w:rPr>
          <w:color w:val="5A7D3A"/>
          <w:sz w:val="18"/>
        </w:rPr>
        <w:t>https://pubmed.ncbi.nlm.nih.gov/42758698/</w:t>
      </w:r>
    </w:p>
    <w:p>
      <w:pPr>
        <w:pStyle w:val="Heading2"/>
      </w:pPr>
      <w:r>
        <w:t>Implementierungsstrategie für betriebliche Rauchentwöhnung mit Anreizen</w:t>
      </w:r>
    </w:p>
    <w:p>
      <w:r>
        <w:rPr>
          <w:i/>
          <w:color w:val="666666"/>
          <w:sz w:val="18"/>
        </w:rPr>
        <w:t>van den Brand FA et al.  ·  PLoS One  ·  18.09.2026  ·  PMID 42758680</w:t>
      </w:r>
    </w:p>
    <w:p>
      <w:r>
        <w:t>Systematische Entwicklung einer Implementierungsstrategie für Workplace-Rauchentwöhnungsprogramme mit finanziellen Anreizen mittels Implementation Mapping in den Niederlanden.</w:t>
      </w:r>
    </w:p>
    <w:p>
      <w:r>
        <w:rPr>
          <w:b/>
        </w:rPr>
        <w:t xml:space="preserve">Ergebnis: </w:t>
      </w:r>
      <w:r>
        <w:t>Identifizierte Schlüsseladoptoren (Geschäftsführung, HR-Manager) und Implementierer sowie sieben Determinanten für erfolgreiche Durchführung. Entwickelte evidenzbasierte Strategien einschließlich Implementierungsleitfaden, Website, Video und Webinar. Stakeholder-Feedback führte zu Verbesserungen.</w:t>
      </w:r>
    </w:p>
    <w:p>
      <w:r>
        <w:rPr>
          <w:b/>
          <w:sz w:val="19"/>
        </w:rPr>
        <w:t xml:space="preserve">Übertragbarkeit: </w:t>
      </w:r>
      <w:r>
        <w:rPr>
          <w:sz w:val="19"/>
        </w:rPr>
        <w:t>Niederlande, ähnliches Sozialversicherungssystem mit Betriebsstruktur</w:t>
      </w:r>
    </w:p>
    <w:p>
      <w:r>
        <w:rPr>
          <w:color w:val="5A7D3A"/>
          <w:sz w:val="18"/>
        </w:rPr>
        <w:t>https://pubmed.ncbi.nlm.nih.gov/42758680/</w:t>
      </w:r>
    </w:p>
    <w:p>
      <w:pPr>
        <w:pStyle w:val="Heading2"/>
      </w:pPr>
      <w:r>
        <w:t>Kognitive Verzerrungen und Nierenfunktions-Risikoperception bei älteren CKD-Patienten</w:t>
      </w:r>
    </w:p>
    <w:p>
      <w:r>
        <w:rPr>
          <w:i/>
          <w:color w:val="666666"/>
          <w:sz w:val="18"/>
        </w:rPr>
        <w:t>Bonnet K et al.  ·  Clin J Am Soc Nephrol  ·  18.09.2026  ·  PMID 42758548</w:t>
      </w:r>
    </w:p>
    <w:p>
      <w:r>
        <w:t>Mixed-Methods-Studie mit Älteren (&gt;60 Jahre) im Stadium 3B–5 CKD zu kognitiven Verzerrungen bei der Wahrnehmung ihres Nierenfunktionsausfallrisikos.</w:t>
      </w:r>
    </w:p>
    <w:p>
      <w:r>
        <w:rPr>
          <w:b/>
        </w:rPr>
        <w:t xml:space="preserve">Ergebnis: </w:t>
      </w:r>
      <w:r>
        <w:t>Nur 24% der Teilnehmer hatten Prognosekonsens (objektives vs. subjektiv wahrgenommenes Risiko). Höhere Patient Activation war unabhängig mit niedrigeren Odds für Unsicherheit assoziiert (OR 0,66; 95%-KI 0,44–0,99). Qualitativ: Empfehlungen für hoffnungsvolle Sprache, Einbeziehen von Angehörigen und numeracy-Berücksichtigung.</w:t>
      </w:r>
    </w:p>
    <w:p>
      <w:r>
        <w:rPr>
          <w:b/>
          <w:sz w:val="19"/>
        </w:rPr>
        <w:t xml:space="preserve">Übertragbarkeit: </w:t>
      </w:r>
      <w:r>
        <w:rPr>
          <w:sz w:val="19"/>
        </w:rPr>
        <w:t>US-Daten, aber Fragestellung zur Patientenkommunikation systemunabhängig</w:t>
      </w:r>
    </w:p>
    <w:p>
      <w:r>
        <w:rPr>
          <w:color w:val="5A7D3A"/>
          <w:sz w:val="18"/>
        </w:rPr>
        <w:t>https://pubmed.ncbi.nlm.nih.gov/42758548/</w:t>
      </w:r>
    </w:p>
    <w:p>
      <w:pPr>
        <w:pStyle w:val="Heading2"/>
      </w:pPr>
      <w:r>
        <w:t>Komplexe-Versorgungsprogramm reduziert Krankenhausnutzung bei Kindern</w:t>
      </w:r>
    </w:p>
    <w:p>
      <w:r>
        <w:rPr>
          <w:i/>
          <w:color w:val="666666"/>
          <w:sz w:val="18"/>
        </w:rPr>
        <w:t>Lee J et al.  ·  J Pediatr Health Care  ·  17.09.2026  ·  PMID 42758058</w:t>
      </w:r>
    </w:p>
    <w:p>
      <w:r>
        <w:t>Retrospektive Kohortenstudie von 71 Kindern mit medizinischer Komplexität in einem Cross-Setting-Komplexcare-Programm mit kleinem Kernteam (2015–2024).</w:t>
      </w:r>
    </w:p>
    <w:p>
      <w:r>
        <w:rPr>
          <w:b/>
        </w:rPr>
        <w:t xml:space="preserve">Ergebnis: </w:t>
      </w:r>
      <w:r>
        <w:t>Hospitalisierungen sanken von 3,5 auf 2,0 pro Jahr (p &lt; 0,001), Verweildauer von 41,5 auf 11,5 Tage pro Jahr (p &lt; 0,001). Adjustierte Analysen zeigten 32% Reduktion bei Hospitalisierungen und 72% bei Verweildauer.</w:t>
      </w:r>
    </w:p>
    <w:p>
      <w:r>
        <w:rPr>
          <w:b/>
          <w:sz w:val="19"/>
        </w:rPr>
        <w:t xml:space="preserve">Übertragbarkeit: </w:t>
      </w:r>
      <w:r>
        <w:rPr>
          <w:sz w:val="19"/>
        </w:rPr>
        <w:t>US-amerikanische Universitätsklinik, aber Modell zum Case Management übertragbar</w:t>
      </w:r>
    </w:p>
    <w:p>
      <w:r>
        <w:rPr>
          <w:color w:val="5A7D3A"/>
          <w:sz w:val="18"/>
        </w:rPr>
        <w:t>https://pubmed.ncbi.nlm.nih.gov/42758058/</w:t>
      </w:r>
    </w:p>
    <w:p>
      <w:pPr>
        <w:pStyle w:val="Heading2"/>
      </w:pPr>
      <w:r>
        <w:t>Barrieren von Frontline-Mitarbeitern bei TB-Diensten in High-Burden-Ländern</w:t>
      </w:r>
    </w:p>
    <w:p>
      <w:r>
        <w:rPr>
          <w:i/>
          <w:color w:val="666666"/>
          <w:sz w:val="18"/>
        </w:rPr>
        <w:t>Cox SR et al.  ·  J Glob Health  ·  18.09.2026  ·  PMID 42757757</w:t>
      </w:r>
    </w:p>
    <w:p>
      <w:r>
        <w:t>Scoping Review von 189 Studien (2010–2025) zu Healthcare-Worker-bezogenen Barrieren bei TB-Prävention, Diagnostik und Behandlung in WHO-High-Burden-Ländern.</w:t>
      </w:r>
    </w:p>
    <w:p>
      <w:r>
        <w:rPr>
          <w:b/>
        </w:rPr>
        <w:t xml:space="preserve">Ergebnis: </w:t>
      </w:r>
      <w:r>
        <w:t>Wissens- und Skill-Lücken waren die häufigsten Barrieren (n = 128 Studien). Weitere Themen: Provider-Patient-Kommunikation, Stigma (n = 74 Studien), Motivation für qualitativ hochwertige TB-Pflege (n = 69 Studien). COM-B-Framework identifizierte umsetzbare Targets.</w:t>
      </w:r>
    </w:p>
    <w:p>
      <w:r>
        <w:rPr>
          <w:b/>
          <w:sz w:val="19"/>
        </w:rPr>
        <w:t xml:space="preserve">Übertragbarkeit: </w:t>
      </w:r>
      <w:r>
        <w:rPr>
          <w:sz w:val="19"/>
        </w:rPr>
        <w:t>Länder mit Ressourcenlimitationen; Erkenntnisse zu HSR-Barrieren international relevant</w:t>
      </w:r>
    </w:p>
    <w:p>
      <w:r>
        <w:rPr>
          <w:color w:val="5A7D3A"/>
          <w:sz w:val="18"/>
        </w:rPr>
        <w:t>https://pubmed.ncbi.nlm.nih.gov/42757757/</w:t>
      </w:r>
    </w:p>
    <w:p>
      <w:pPr>
        <w:pStyle w:val="Heading2"/>
      </w:pPr>
      <w:r>
        <w:t>Strukturierte Laktationsberatung und Muttermilchbanken in deutschen NICUs</w:t>
      </w:r>
    </w:p>
    <w:p>
      <w:r>
        <w:rPr>
          <w:i/>
          <w:color w:val="666666"/>
          <w:sz w:val="18"/>
        </w:rPr>
        <w:t>Köberlein-Neu J et al.  ·  BMC Med  ·  11.09.2026  ·  PMID 42754870</w:t>
      </w:r>
    </w:p>
    <w:p>
      <w:r>
        <w:t>Stepped-Wedge-Cluster-RCT in 15 deutschen Level-I-NICUs zur Wirksamkeit von strukturierter Laktationsberatung mit Donor-Milk-Banking auf ausschließliches Stillen bei Entlassung.</w:t>
      </w:r>
    </w:p>
    <w:p>
      <w:r>
        <w:rPr>
          <w:b/>
        </w:rPr>
        <w:t xml:space="preserve">Ergebnis: </w:t>
      </w:r>
      <w:r>
        <w:t>Ausschließliches Stillen bei Entlassung stieg um 11 Prozentpunkte (95%-KI: 3,0–19,0; p = 0,007) von 43% Baseline. Keine signifikanten Unterschiede in klinischen Komplikationen oder Verweildauer. Implementierbarkeit und Durchführungstreue waren ausreichend (Beratung in 71% wie geplant).</w:t>
      </w:r>
    </w:p>
    <w:p>
      <w:r>
        <w:rPr>
          <w:b/>
          <w:sz w:val="19"/>
        </w:rPr>
        <w:t xml:space="preserve">Übertragbarkeit: </w:t>
      </w:r>
      <w:r>
        <w:rPr>
          <w:sz w:val="19"/>
        </w:rPr>
        <w:t>Deutsche RCT-Daten, gesetzlich versicherte Neugeborene in Universitätskliniken</w:t>
      </w:r>
    </w:p>
    <w:p>
      <w:r>
        <w:rPr>
          <w:color w:val="5A7D3A"/>
          <w:sz w:val="18"/>
        </w:rPr>
        <w:t>https://pubmed.ncbi.nlm.nih.gov/42754870/</w:t>
      </w:r>
    </w:p>
    <w:p>
      <w:pPr>
        <w:pStyle w:val="Heading1"/>
      </w:pPr>
      <w:r>
        <w:t>Aufgenommen am 18.09.2026</w:t>
      </w:r>
    </w:p>
    <w:p>
      <w:pPr>
        <w:pStyle w:val="Heading2"/>
      </w:pPr>
      <w:r>
        <w:t>Workforce readiness for Advance Care Planning in ID services</w:t>
      </w:r>
    </w:p>
    <w:p>
      <w:r>
        <w:rPr>
          <w:i/>
          <w:color w:val="666666"/>
          <w:sz w:val="18"/>
        </w:rPr>
        <w:t>Zeilinger EL Prof Dr et al.  ·  J Pain Symptom Manage  ·  17.09.2026  ·  PMID 42754183</w:t>
      </w:r>
    </w:p>
    <w:p>
      <w:r>
        <w:t>Österreichische Querschnittstudie zur Bereitschaft von Betreuungspersonen in Wohneinrichtungen für Menschen mit Behinderungen, ACP-Gespräche zu führen.</w:t>
      </w:r>
    </w:p>
    <w:p>
      <w:r>
        <w:rPr>
          <w:b/>
        </w:rPr>
        <w:t xml:space="preserve">Ergebnis: </w:t>
      </w:r>
      <w:r>
        <w:t>67,7 % der 127 Befragten kannten Patientenverfügungen, aber nur 1,6 % konnten ACP erklären. 68,5 % fühlten sich komfortabel bei ACP-Gesprächen, 85,8 % sahen ACP als wichtig an, und 77,2 % sahen es als ihre Verantwortung. Fehlende konzeptionelle Vorbereitung trotz hoher Unterstützung für ACP.</w:t>
      </w:r>
    </w:p>
    <w:p>
      <w:r>
        <w:rPr>
          <w:b/>
          <w:sz w:val="19"/>
        </w:rPr>
        <w:t xml:space="preserve">Übertragbarkeit: </w:t>
      </w:r>
      <w:r>
        <w:rPr>
          <w:sz w:val="19"/>
        </w:rPr>
        <w:t>Österreich, ähnliche Systemstruktur und Versorgungskontext wie Deutschland</w:t>
      </w:r>
    </w:p>
    <w:p>
      <w:r>
        <w:rPr>
          <w:color w:val="5A7D3A"/>
          <w:sz w:val="18"/>
        </w:rPr>
        <w:t>https://pubmed.ncbi.nlm.nih.gov/42754183/</w:t>
      </w:r>
    </w:p>
    <w:p>
      <w:pPr>
        <w:pStyle w:val="Heading2"/>
      </w:pPr>
      <w:r>
        <w:t>Multilevel-Faktoren bei Non-Response zu Patient-Reported Outcome Measures</w:t>
      </w:r>
    </w:p>
    <w:p>
      <w:r>
        <w:rPr>
          <w:i/>
          <w:color w:val="666666"/>
          <w:sz w:val="18"/>
        </w:rPr>
        <w:t>Liu JB et al.  ·  Qual Life Res  ·  17.09.2026  ·  PMID 42753022</w:t>
      </w:r>
    </w:p>
    <w:p>
      <w:r>
        <w:t>US-Kohortenanalyse von 12.214 Patienten an fünf Strahlentherapie-Kliniken zu Faktoren auf Patient-, Provider- und Klinikebene, die Non-Response zu PROMIS Global-10 vorhersagen.</w:t>
      </w:r>
    </w:p>
    <w:p>
      <w:r>
        <w:rPr>
          <w:b/>
        </w:rPr>
        <w:t xml:space="preserve">Ergebnis: </w:t>
      </w:r>
      <w:r>
        <w:t>Patient- und Termin-Response-Raten: 35,4 % bzw. 31,7 %; Response variierte zwischen Kliniken 12,8–66,2 %. Nach Adjustierung: jüngste Operation (aOR 1,97) und längere Diagnosedauer (aOR 0,46 für &gt;12 Monate) persistierten. Klinik-Implementierungsfaktoren (späte Programmstartzeit aOR 0,29) waren stärker als Patientenmerkmale.</w:t>
      </w:r>
    </w:p>
    <w:p>
      <w:r>
        <w:rPr>
          <w:b/>
          <w:sz w:val="19"/>
        </w:rPr>
        <w:t xml:space="preserve">Übertragbarkeit: </w:t>
      </w:r>
      <w:r>
        <w:rPr>
          <w:sz w:val="19"/>
        </w:rPr>
        <w:t>USA - Methodologie zu PROM-Implementierung systemunabhängig relevant für deutsches QM</w:t>
      </w:r>
    </w:p>
    <w:p>
      <w:r>
        <w:rPr>
          <w:color w:val="5A7D3A"/>
          <w:sz w:val="18"/>
        </w:rPr>
        <w:t>https://pubmed.ncbi.nlm.nih.gov/42753022/</w:t>
      </w:r>
    </w:p>
    <w:p>
      <w:pPr>
        <w:pStyle w:val="Heading2"/>
      </w:pPr>
      <w:r>
        <w:t>Finanzielle Auswirkungen von Schwangerschaft und Geburt bei Louisiana Medicaid</w:t>
      </w:r>
    </w:p>
    <w:p>
      <w:r>
        <w:rPr>
          <w:i/>
          <w:color w:val="666666"/>
          <w:sz w:val="18"/>
        </w:rPr>
        <w:t>Walker B et al.  ·  Health Serv Res  ·  Okt. 2026  ·  PMID 42751818</w:t>
      </w:r>
    </w:p>
    <w:p>
      <w:r>
        <w:t>US-Studie zu Auswirkungen von Schwangerschaft auf Verschuldung und Kreditscores bei Medicaid-Versicherten, stratifiziert nach Ethnie.</w:t>
      </w:r>
    </w:p>
    <w:p>
      <w:r>
        <w:rPr>
          <w:b/>
        </w:rPr>
        <w:t xml:space="preserve">Ergebnis: </w:t>
      </w:r>
      <w:r>
        <w:t>Nicht-hispanische schwarze Frauen zeigten negative finanzielle Folgen: Kreditscores sanken um 4 Punkte (95%-KI: -5,65 bis -1,81), medizinische Schulden stiegen um 41 USD (KI: 6–75), andere Schulden um 44 USD (KI: 15–74). Nicht-hispanische weiße Frauen zeigten keine nachteiligen Auswirkungen.</w:t>
      </w:r>
    </w:p>
    <w:p>
      <w:r>
        <w:rPr>
          <w:b/>
          <w:sz w:val="19"/>
        </w:rPr>
        <w:t xml:space="preserve">Übertragbarkeit: </w:t>
      </w:r>
      <w:r>
        <w:rPr>
          <w:sz w:val="19"/>
        </w:rPr>
        <w:t>USA/Medicaid - Fragestellung aber zu Equity und Versorgungsgerechtigkeit systemunabhängig relevant</w:t>
      </w:r>
    </w:p>
    <w:p>
      <w:r>
        <w:rPr>
          <w:color w:val="5A7D3A"/>
          <w:sz w:val="18"/>
        </w:rPr>
        <w:t>https://pubmed.ncbi.nlm.nih.gov/42751818/</w:t>
      </w:r>
    </w:p>
    <w:p>
      <w:pPr>
        <w:pStyle w:val="Heading2"/>
      </w:pPr>
      <w:r>
        <w:t>Lernen zur Unterstützung von Klientenautonomie in Pflegepraktika</w:t>
      </w:r>
    </w:p>
    <w:p>
      <w:r>
        <w:rPr>
          <w:i/>
          <w:color w:val="666666"/>
          <w:sz w:val="18"/>
        </w:rPr>
        <w:t>Knibbeler MMCJ et al.  ·  Int J Nurs Stud Adv  ·  05.09.2026  ·  PMID 42751206</w:t>
      </w:r>
    </w:p>
    <w:p>
      <w:r>
        <w:t>Qualitative Studie aus Niederlanden zur Frage, wie Pflegestudierende während des klinischen Praktikums lernen, Klientenautonomie zu unterstützen.</w:t>
      </w:r>
    </w:p>
    <w:p>
      <w:r>
        <w:rPr>
          <w:b/>
        </w:rPr>
        <w:t xml:space="preserve">Ergebnis: </w:t>
      </w:r>
      <w:r>
        <w:t>Autonomieförderung war in der Praxis präsent aber inkonsistent; Betreuer interpretierten Autonomie oft als Selbstständigkeit statt Partizipation in Entscheidungen. Implizites Lernen durch Beobachtung dominierte; strukturierte Reflexion war selten. Supervision und Feedback durch Betreuer waren nicht systematisch.</w:t>
      </w:r>
    </w:p>
    <w:p>
      <w:r>
        <w:rPr>
          <w:b/>
          <w:sz w:val="19"/>
        </w:rPr>
        <w:t xml:space="preserve">Übertragbarkeit: </w:t>
      </w:r>
      <w:r>
        <w:rPr>
          <w:sz w:val="19"/>
        </w:rPr>
        <w:t>Niederlande, vergleichbares Pflegeausbildungssystem und Versorgungskontext</w:t>
      </w:r>
    </w:p>
    <w:p>
      <w:r>
        <w:rPr>
          <w:color w:val="5A7D3A"/>
          <w:sz w:val="18"/>
        </w:rPr>
        <w:t>https://pubmed.ncbi.nlm.nih.gov/42751206/</w:t>
      </w:r>
    </w:p>
    <w:p>
      <w:pPr>
        <w:pStyle w:val="Heading2"/>
      </w:pPr>
      <w:r>
        <w:t>Mundgesundheitspflege in Langzeiteinrichtungen: Barrieren und Enabler</w:t>
      </w:r>
    </w:p>
    <w:p>
      <w:r>
        <w:rPr>
          <w:i/>
          <w:color w:val="666666"/>
          <w:sz w:val="18"/>
        </w:rPr>
        <w:t>Spilsbury K et al.  ·  Int J Nurs Stud Adv  ·  13.08.2026  ·  PMID 42750939</w:t>
      </w:r>
    </w:p>
    <w:p>
      <w:r>
        <w:t>Britische Scoping Review zu Faktoren auf Mikro-, Meso- und Makroebene, die Mundgesundheitspflege durch Personal in Altenheimen beeinflussen.</w:t>
      </w:r>
    </w:p>
    <w:p>
      <w:r>
        <w:rPr>
          <w:b/>
        </w:rPr>
        <w:t xml:space="preserve">Ergebnis: </w:t>
      </w:r>
      <w:r>
        <w:t>63 Studien eingeschlossen. Häufigste Einflussfaktoren im COM-B-Modell waren Opportunity-Faktoren (Umgebung, Ressourcen, soziale Einflüsse). Wichtigste Enabler: Schulung, Mundgesundheitskampagnen, unterstützende Führung, Assessmentsysteme. Schlüsselbarrieren: Personalknappheit, Zeitdruck, begrenzte Schulung, niedrige organisationale Priorität, eingeschränkter Zugang zu Zahnservices.</w:t>
      </w:r>
    </w:p>
    <w:p>
      <w:r>
        <w:rPr>
          <w:b/>
          <w:sz w:val="19"/>
        </w:rPr>
        <w:t xml:space="preserve">Übertragbarkeit: </w:t>
      </w:r>
      <w:r>
        <w:rPr>
          <w:sz w:val="19"/>
        </w:rPr>
        <w:t>Großbritannien, Empfehlungen für Langzeitpflege in Deutschland direkt anwendbar</w:t>
      </w:r>
    </w:p>
    <w:p>
      <w:r>
        <w:rPr>
          <w:color w:val="5A7D3A"/>
          <w:sz w:val="18"/>
        </w:rPr>
        <w:t>https://pubmed.ncbi.nlm.nih.gov/42750939/</w:t>
      </w:r>
    </w:p>
    <w:p>
      <w:pPr>
        <w:pStyle w:val="Heading2"/>
      </w:pPr>
      <w:r>
        <w:t>Algorithmen zur Identifikation von HCBS in Medicaid-Claims</w:t>
      </w:r>
    </w:p>
    <w:p>
      <w:r>
        <w:rPr>
          <w:i/>
          <w:color w:val="666666"/>
          <w:sz w:val="18"/>
        </w:rPr>
        <w:t>Dihwa V et al.  ·  Health Serv Res  ·  Okt. 2026  ·  PMID 42750346</w:t>
      </w:r>
    </w:p>
    <w:p>
      <w:r>
        <w:t>US-Evaluationsstudie von drei Algorithmen zur Identifikation von Home- and Community-Based Services in Medicaid-Daten 2021–2023.</w:t>
      </w:r>
    </w:p>
    <w:p>
      <w:r>
        <w:rPr>
          <w:b/>
        </w:rPr>
        <w:t xml:space="preserve">Ergebnis: </w:t>
      </w:r>
      <w:r>
        <w:t>Zwei bestehende Algorithmen zeigten hohe Übereinstimmung (Po = 93 %, Kappa = 0,77). Ein neuer vereinheitlichter Algorithmus adressierte Diskrepanzen durch Novel-Nutzung von Waiver-IDs. Jedoch zeigten einige Bundesstaaten implausible Zählungen oder große Schwankungen über die Jahre (&gt;50 %), was auf Datenqualitätsprobleme hindeutet.</w:t>
      </w:r>
    </w:p>
    <w:p>
      <w:r>
        <w:rPr>
          <w:b/>
          <w:sz w:val="19"/>
        </w:rPr>
        <w:t xml:space="preserve">Übertragbarkeit: </w:t>
      </w:r>
      <w:r>
        <w:rPr>
          <w:sz w:val="19"/>
        </w:rPr>
        <w:t>USA - Datenqualitätsthematik systemunabhängig, aber nur bedingt auf Deutschland übertragbar</w:t>
      </w:r>
    </w:p>
    <w:p>
      <w:r>
        <w:rPr>
          <w:color w:val="5A7D3A"/>
          <w:sz w:val="18"/>
        </w:rPr>
        <w:t>https://pubmed.ncbi.nlm.nih.gov/42750346/</w:t>
      </w:r>
    </w:p>
    <w:p>
      <w:pPr>
        <w:pStyle w:val="Heading1"/>
      </w:pPr>
      <w:r>
        <w:t>Aufgenommen am 17.09.2026</w:t>
      </w:r>
    </w:p>
    <w:p>
      <w:pPr>
        <w:pStyle w:val="Heading2"/>
      </w:pPr>
      <w:r>
        <w:t>Chirurgische Behandlung von NSCLC in England: Trends, Variation und kurzfristige Ergebnisse 2015–2023</w:t>
      </w:r>
    </w:p>
    <w:p>
      <w:r>
        <w:rPr>
          <w:i/>
          <w:color w:val="666666"/>
          <w:sz w:val="18"/>
        </w:rPr>
        <w:t>Dixon LK et al.  ·  BMJ Open  ·  16.09.2026  ·  PMID 42749376</w:t>
      </w:r>
    </w:p>
    <w:p>
      <w:r>
        <w:t>Bevölkerungsgestützte Kohortenstudie zu Trends in der chirurgischen Praxis, regionalen Unterschieden und postoperativen Outcomes bei Lungenkrebs-Resektion in England über 9 Jahre.</w:t>
      </w:r>
    </w:p>
    <w:p>
      <w:r>
        <w:rPr>
          <w:b/>
        </w:rPr>
        <w:t xml:space="preserve">Ergebnis: </w:t>
      </w:r>
      <w:r>
        <w:t>Resektionsrate stieg von 15,4 % (2015) auf 20,9 % (2023); Segmentektomie von 11,2 % auf 20,6 %, minimal-invasive Chirurgie von 47,1 % auf 79,7 %; 90-Tage-Mortalität sank von 4,03 % auf 2,26 %; Verweildauer verkürzt sich, Wiederaufnahmen stabil bei ~10–12 % – jedoch erhebliche Zentren-Heterogenität in Segmentektomie (10,7–80,3 %) und roboterassistierter Chirurgie (0–67 %).</w:t>
      </w:r>
    </w:p>
    <w:p>
      <w:r>
        <w:rPr>
          <w:b/>
          <w:sz w:val="19"/>
        </w:rPr>
        <w:t xml:space="preserve">Übertragbarkeit: </w:t>
      </w:r>
      <w:r>
        <w:rPr>
          <w:sz w:val="19"/>
        </w:rPr>
        <w:t>England, spezialisierte Thoraxchirurgie-Zentren – systemischer Kontext nur bedingt übertragbar</w:t>
      </w:r>
    </w:p>
    <w:p>
      <w:r>
        <w:rPr>
          <w:color w:val="5A7D3A"/>
          <w:sz w:val="18"/>
        </w:rPr>
        <w:t>https://pubmed.ncbi.nlm.nih.gov/42749376/</w:t>
      </w:r>
    </w:p>
    <w:p>
      <w:pPr>
        <w:pStyle w:val="Heading2"/>
      </w:pPr>
      <w:r>
        <w:t>Hybrid-Telemedizin-Hausbesuch-Modell für Pneumonieversorung: Pilot-Fallserie aus Texas</w:t>
      </w:r>
    </w:p>
    <w:p>
      <w:r>
        <w:rPr>
          <w:i/>
          <w:color w:val="666666"/>
          <w:sz w:val="18"/>
        </w:rPr>
        <w:t>Bourmand R et al.  ·  JMIR Form Res  ·  16.09.2026  ·  PMID 42748457</w:t>
      </w:r>
    </w:p>
    <w:p>
      <w:r>
        <w:t>Retrospektive deskriptive Fallserie (n=28 Patienten mit Pneumoniediagnose) zur Implementierbarkeit und Nutzungsmuster eines Hybrid-Modells aus virtueller ärztlicher Bewertung und trainierter Fachperson im Hausbesuch mit digitalen Diagnostik-Tools.</w:t>
      </w:r>
    </w:p>
    <w:p>
      <w:r>
        <w:rPr>
          <w:b/>
        </w:rPr>
        <w:t xml:space="preserve">Ergebnis: </w:t>
      </w:r>
      <w:r>
        <w:t>28 Patienten mit 56 klinischen Kontakten (Median 2, IQR 1–3 pro Patient); CRB-65-Scores 0–2 (46,4 % Score 0, 46,4 % Score 1, 7,1 % Score 2); 8/28 (28,6 %) zur ED überwiesen; Patienten zur ED überwiesen hatten signifikant höhere CRB-65-Scores (Median 1, IQR 1–1,5 vs. Median 0, IQR 0–1; p=0,01); Modell machbar, aber größere prospektive Vergleichsstudien für Outcomes/Sicherheit erforderlich.</w:t>
      </w:r>
    </w:p>
    <w:p>
      <w:r>
        <w:rPr>
          <w:b/>
          <w:sz w:val="19"/>
        </w:rPr>
        <w:t xml:space="preserve">Übertragbarkeit: </w:t>
      </w:r>
      <w:r>
        <w:rPr>
          <w:sz w:val="19"/>
        </w:rPr>
        <w:t>USA – Fragestellung zur Versorgungsmodellintegration systemunabhängig, aber Kontext Urgent Care begrenzt übertragbar</w:t>
      </w:r>
    </w:p>
    <w:p>
      <w:r>
        <w:rPr>
          <w:color w:val="5A7D3A"/>
          <w:sz w:val="18"/>
        </w:rPr>
        <w:t>https://pubmed.ncbi.nlm.nih.gov/42748457/</w:t>
      </w:r>
    </w:p>
    <w:p>
      <w:pPr>
        <w:pStyle w:val="Heading2"/>
      </w:pPr>
      <w:r>
        <w:t>Elektronische Arzneihinweise verbessern Überweisungen zu Diabetes-Selbstmanagement-Schulung</w:t>
      </w:r>
    </w:p>
    <w:p>
      <w:r>
        <w:rPr>
          <w:i/>
          <w:color w:val="666666"/>
          <w:sz w:val="18"/>
        </w:rPr>
        <w:t>Donahue KE et al.  ·  Diabetes Care  ·  16.09.2026  ·  PMID 42747941</w:t>
      </w:r>
    </w:p>
    <w:p>
      <w:r>
        <w:t>Clusterrandomisierte Studie zur Wirkung von Best-Practice-Advisories im EHR auf Überweisungsquoten zu Diabetes-Selbstmanagement-Schulung (DSMES) über 18 Monate in US-Primärversorgung.</w:t>
      </w:r>
    </w:p>
    <w:p>
      <w:r>
        <w:rPr>
          <w:b/>
        </w:rPr>
        <w:t xml:space="preserve">Ergebnis: </w:t>
      </w:r>
      <w:r>
        <w:t>Nach 12 Monaten: 12,9 % Überweisungsrate in Interventionskliniken vs. 1,2 % in Kontrollen (p&lt;0,001); nach 18 Monaten 13,7 % vs. 1,6 % (p&lt;0,001); adjustierte Odds Ratio 10,55 (95%-KI 4,65–23,94) nach 12 Monaten und 9,44 (95%-KI 4,91–18,17) nach 18 Monaten. Standing Orders erhielten diese Gewinne.</w:t>
      </w:r>
    </w:p>
    <w:p>
      <w:r>
        <w:rPr>
          <w:b/>
          <w:sz w:val="19"/>
        </w:rPr>
        <w:t xml:space="preserve">Übertragbarkeit: </w:t>
      </w:r>
      <w:r>
        <w:rPr>
          <w:sz w:val="19"/>
        </w:rPr>
        <w:t>USA, Primärversorgung – Prozessoptimierung systemunabhängig, aber Anreizsystem unterschiedlich</w:t>
      </w:r>
    </w:p>
    <w:p>
      <w:r>
        <w:rPr>
          <w:color w:val="5A7D3A"/>
          <w:sz w:val="18"/>
        </w:rPr>
        <w:t>https://pubmed.ncbi.nlm.nih.gov/42747941/</w:t>
      </w:r>
    </w:p>
    <w:p>
      <w:pPr>
        <w:pStyle w:val="Heading2"/>
      </w:pPr>
      <w:r>
        <w:t>Mehrebenen-Mehrfach-Fallstudie: Methodik zur Analyse komplexer Versorgungstrajektorien älterer Menschen</w:t>
      </w:r>
    </w:p>
    <w:p>
      <w:r>
        <w:rPr>
          <w:i/>
          <w:color w:val="666666"/>
          <w:sz w:val="18"/>
        </w:rPr>
        <w:t>Dieterich A et al.  ·  Z Gerontol Geriatr  ·  16.09.2026  ·  PMID 42747513</w:t>
      </w:r>
    </w:p>
    <w:p>
      <w:r>
        <w:t>Methodisches Diskussionspapier zur Anwendung von Mehrebenen-Mehrfach-Fallstudien als Forschungsdesign zur empirischen Rekonstruktion komplexer Hilfeverläufe in sektorenübergreifender Versorgung für ältere Menschen.</w:t>
      </w:r>
    </w:p>
    <w:p>
      <w:r>
        <w:rPr>
          <w:b/>
        </w:rPr>
        <w:t xml:space="preserve">Ergebnis: </w:t>
      </w:r>
      <w:r>
        <w:t>Fallkonstellationen auf Mikro- (Interaktion Betroffener, professionelle und informelle Helfer), Meso- (Organisationen, Netzwerke) und Makroebene (Rahmenbedingungen) systematisch verknüpft; Methodenkombination (Interviews, Dokumenten-, Sozialraum-, Netzwerkanalysen, reflexive thematische Analyse) ermöglicht kontextabhängige Bedingungen von Versorgung zu identifizieren; Design eröffnet neue Möglichkeiten für Versorgungsforschung, stellt aber hohe Anforderungen an Feldzugang, Datenintegration und Forschungsethik.</w:t>
      </w:r>
    </w:p>
    <w:p>
      <w:r>
        <w:rPr>
          <w:b/>
          <w:sz w:val="19"/>
        </w:rPr>
        <w:t xml:space="preserve">Übertragbarkeit: </w:t>
      </w:r>
      <w:r>
        <w:rPr>
          <w:sz w:val="19"/>
        </w:rPr>
        <w:t>Deutschland, Versorgungsforschung – direkt anwendbare Methodik für sektorenübergreifende Versorgungsanalyse</w:t>
      </w:r>
    </w:p>
    <w:p>
      <w:r>
        <w:rPr>
          <w:color w:val="5A7D3A"/>
          <w:sz w:val="18"/>
        </w:rPr>
        <w:t>https://pubmed.ncbi.nlm.nih.gov/42747513/</w:t>
      </w:r>
    </w:p>
    <w:p>
      <w:pPr>
        <w:pStyle w:val="Heading2"/>
      </w:pPr>
      <w:r>
        <w:t>Zusammenarbeit und Partizipation in integrierter Versorgung: Sicht von Managern mit komplexen Bedarf</w:t>
      </w:r>
    </w:p>
    <w:p>
      <w:r>
        <w:rPr>
          <w:i/>
          <w:color w:val="666666"/>
          <w:sz w:val="18"/>
        </w:rPr>
        <w:t>Hjelm M et al.  ·  BMC Health Serv Res  ·  12.09.2026  ·  PMID 42745286</w:t>
      </w:r>
    </w:p>
    <w:p>
      <w:r>
        <w:t>Qualitative Fokusgruppenstudie (n=13 Manager) zu Barrieren und Facilitatoren interprofessioneller Zusammenarbeit und Patientenbeteiligung in integrierter Gesundheits- und Sozialversorgung für Erwachsene mit komplexen Bedarfen in Schweden.</w:t>
      </w:r>
    </w:p>
    <w:p>
      <w:r>
        <w:rPr>
          <w:b/>
        </w:rPr>
        <w:t xml:space="preserve">Ergebnis: </w:t>
      </w:r>
      <w:r>
        <w:t>Drei zentrale Kategorien identifiziert: (1) organisatorische Voraussetzungen für nachhaltige Verbesserung integrierter Versorgung, (2) interprofessionelle Zusammenarbeit zur Bedarfserfassung, (3) relationale und bedarfsgerechte Ansätze; Kluft zwischen Intention und Implementierung von personenzentrierter, integrierter Versorgung erkannt; Vertrauen, klare Governance und organisatorische Kontinuität als Schlüsselfaktoren.</w:t>
      </w:r>
    </w:p>
    <w:p>
      <w:r>
        <w:rPr>
          <w:b/>
          <w:sz w:val="19"/>
        </w:rPr>
        <w:t xml:space="preserve">Übertragbarkeit: </w:t>
      </w:r>
      <w:r>
        <w:rPr>
          <w:sz w:val="19"/>
        </w:rPr>
        <w:t>Schweden – Primärversorgung und Koordinationsprozesse gut übertragbar auf Deutschland</w:t>
      </w:r>
    </w:p>
    <w:p>
      <w:r>
        <w:rPr>
          <w:color w:val="5A7D3A"/>
          <w:sz w:val="18"/>
        </w:rPr>
        <w:t>https://pubmed.ncbi.nlm.nih.gov/42745286/</w:t>
      </w:r>
    </w:p>
    <w:p>
      <w:pPr>
        <w:pStyle w:val="Heading2"/>
      </w:pPr>
      <w:r>
        <w:t>Lungenkrebs-Screening in Flandern: Barrieren und Facilitatoren aus Stakeholder-Perspektive</w:t>
      </w:r>
    </w:p>
    <w:p>
      <w:r>
        <w:rPr>
          <w:i/>
          <w:color w:val="666666"/>
          <w:sz w:val="18"/>
        </w:rPr>
        <w:t>Michiels L et al.  ·  BMC Health Serv Res  ·  31.08.2026  ·  PMID 42745254</w:t>
      </w:r>
    </w:p>
    <w:p>
      <w:r>
        <w:t>Qualitative exploratorische Studie (22 Gesundheitsfachpersonen, 13 Screening-Berechtigte) zu Implementierungs- und Partizipationsbarrieren sowie Facilitatoren für bevölkerungsgestütztes Lungenkrebs-Screening mit Niedrig-Dosis-CT in Belgien.</w:t>
      </w:r>
    </w:p>
    <w:p>
      <w:r>
        <w:rPr>
          <w:b/>
        </w:rPr>
        <w:t xml:space="preserve">Ergebnis: </w:t>
      </w:r>
      <w:r>
        <w:t>Überwiegend positive Einstellung zum Screening, aber Barrieren: Stigma bezüglich Rauchen, begrenzte Gesundheitskompetenz, indirekte finanzielle/logistische Hindernisse, Angst vor Screening und Warten auf Ergebnisse, Workload-Bedenken, Schulungsbedarf bei Fachpersonen; Facilitatoren: klare Richtlinien, staatliche Koordination/Finanzierung, Integration in Workflows, Zugänglichkeit, public awareness, vertrauensbasierte Kommunikation ohne Wertung.</w:t>
      </w:r>
    </w:p>
    <w:p>
      <w:r>
        <w:rPr>
          <w:b/>
          <w:sz w:val="19"/>
        </w:rPr>
        <w:t xml:space="preserve">Übertragbarkeit: </w:t>
      </w:r>
      <w:r>
        <w:rPr>
          <w:sz w:val="19"/>
        </w:rPr>
        <w:t>Belgien, vergleichbares Sozialversicherungssystem mit ähnlichen Implementierungshürden</w:t>
      </w:r>
    </w:p>
    <w:p>
      <w:r>
        <w:rPr>
          <w:color w:val="5A7D3A"/>
          <w:sz w:val="18"/>
        </w:rPr>
        <w:t>https://pubmed.ncbi.nlm.nih.gov/42745254/</w:t>
      </w:r>
    </w:p>
    <w:p>
      <w:pPr>
        <w:pStyle w:val="Heading2"/>
      </w:pPr>
      <w:r>
        <w:t>Digitale Versorgungstechnologien für ältere Menschen: Anforderungen für Erfahrung als gute Versorgung</w:t>
      </w:r>
    </w:p>
    <w:p>
      <w:r>
        <w:rPr>
          <w:i/>
          <w:color w:val="666666"/>
          <w:sz w:val="18"/>
        </w:rPr>
        <w:t>Kruithof K et al.  ·  BMC Health Serv Res  ·  05.08.2026  ·  PMID 42745252</w:t>
      </w:r>
    </w:p>
    <w:p>
      <w:r>
        <w:t>Qualitative Studie (n=27 wohnhaft lebende ältere Menschen) zu Bedingungen, unter denen digitale Pflege- und Unterstützungstechnologien von älteren Menschen als gute Versorgung wahrgenommen werden.</w:t>
      </w:r>
    </w:p>
    <w:p>
      <w:r>
        <w:rPr>
          <w:b/>
        </w:rPr>
        <w:t xml:space="preserve">Ergebnis: </w:t>
      </w:r>
      <w:r>
        <w:t>Technologien als gute Versorgung erlebt, wenn sie (1) Bedarf und Gewohnheiten entsprechen, (2) Fähigkeiten unterstützen, (3) Werte respektieren; aktive Rolle bei Technologiewahl assoziiert mit Altern-in-place und verbesserter Zugänglichkeit/Sicherheit/Autonomie; von Betreuerseite eingeführte Technologien oft als unnötig wahrgenommen und nicht genutzt; Technologien können reduziertem menschlichem Kontakt und Zugänglichkeitsmängeln schaden.</w:t>
      </w:r>
    </w:p>
    <w:p>
      <w:r>
        <w:rPr>
          <w:b/>
          <w:sz w:val="19"/>
        </w:rPr>
        <w:t xml:space="preserve">Übertragbarkeit: </w:t>
      </w:r>
      <w:r>
        <w:rPr>
          <w:sz w:val="19"/>
        </w:rPr>
        <w:t>Niederlande, ähnliches Gesundheitssystem – Implementierung digitaler Lösungen systemunabhängig</w:t>
      </w:r>
    </w:p>
    <w:p>
      <w:r>
        <w:rPr>
          <w:color w:val="5A7D3A"/>
          <w:sz w:val="18"/>
        </w:rPr>
        <w:t>https://pubmed.ncbi.nlm.nih.gov/42745252/</w:t>
      </w:r>
    </w:p>
    <w:p>
      <w:pPr>
        <w:pStyle w:val="Heading1"/>
      </w:pPr>
      <w:r>
        <w:t>Aufgenommen am 16.09.2026</w:t>
      </w:r>
    </w:p>
    <w:p>
      <w:pPr>
        <w:pStyle w:val="Heading2"/>
      </w:pPr>
      <w:r>
        <w:t>Pragmatisches Vorhersagemodell für Asthma-Klinikreadmissionen</w:t>
      </w:r>
    </w:p>
    <w:p>
      <w:r>
        <w:rPr>
          <w:i/>
          <w:color w:val="666666"/>
          <w:sz w:val="18"/>
        </w:rPr>
        <w:t>Tay TR et al.  ·  Respir Med  ·  15.09.2026  ·  PMID 42744205</w:t>
      </w:r>
    </w:p>
    <w:p>
      <w:r>
        <w:t>Entwicklung und externe Validierung eines neunfaktoriellen Vorhersagemodells für Krankenhauswiederaufnahmen nach Asthmaexazerbation innerhalb von 12 Monaten.</w:t>
      </w:r>
    </w:p>
    <w:p>
      <w:r>
        <w:rPr>
          <w:b/>
        </w:rPr>
        <w:t xml:space="preserve">Ergebnis: </w:t>
      </w:r>
      <w:r>
        <w:t>READMIT-Modell zeigte gute Diskriminierung im Entwicklungs-(AUC 0,748; 95% KI 0,711–0,785) und externen Kohort (AUC 0,737; 95% KI 0,712–0,762), mit zufriedenstellender Kalibrierung.</w:t>
      </w:r>
    </w:p>
    <w:p>
      <w:r>
        <w:rPr>
          <w:b/>
          <w:sz w:val="19"/>
        </w:rPr>
        <w:t xml:space="preserve">Übertragbarkeit: </w:t>
      </w:r>
      <w:r>
        <w:rPr>
          <w:sz w:val="19"/>
        </w:rPr>
        <w:t>Singapur-Daten, aber Fragestellung zu klinischen Prozessen systemunabhängig</w:t>
      </w:r>
    </w:p>
    <w:p>
      <w:r>
        <w:rPr>
          <w:color w:val="5A7D3A"/>
          <w:sz w:val="18"/>
        </w:rPr>
        <w:t>https://pubmed.ncbi.nlm.nih.gov/42744205/</w:t>
      </w:r>
    </w:p>
    <w:p>
      <w:pPr>
        <w:pStyle w:val="Heading2"/>
      </w:pPr>
      <w:r>
        <w:t>Buprenorphin-Verordnungen nach Einführung eines niedrigschwelligen virtuellen Netzwerks</w:t>
      </w:r>
    </w:p>
    <w:p>
      <w:r>
        <w:rPr>
          <w:i/>
          <w:color w:val="666666"/>
          <w:sz w:val="18"/>
        </w:rPr>
        <w:t>Lindenfeld Z et al.  ·  J Subst Use Addict Treat  ·  15.09.2026  ·  PMID 42744115</w:t>
      </w:r>
    </w:p>
    <w:p>
      <w:r>
        <w:t>Analyse der Auswirkungen eines kommunalen Rapid-Access-Modells (RealFix) mit virtuellen Anbietern auf die Buprenorphin-Verschreibungen in Paterson, New Jersey, mittels Differenzen-in-Differenzen-Analyse (2021–2025).</w:t>
      </w:r>
    </w:p>
    <w:p>
      <w:r>
        <w:rPr>
          <w:b/>
        </w:rPr>
        <w:t xml:space="preserve">Ergebnis: </w:t>
      </w:r>
      <w:r>
        <w:t>RealFix war mit Zunahmen von 66,5–76,8 Buprenorphin-Rezepten pro 10.000 Einwohner monatlich verbunden (14,6–17,0% Anstieg über Kontrollgruppen hinaus); Retentionseffekte waren gemischt.</w:t>
      </w:r>
    </w:p>
    <w:p>
      <w:r>
        <w:rPr>
          <w:b/>
          <w:sz w:val="19"/>
        </w:rPr>
        <w:t xml:space="preserve">Übertragbarkeit: </w:t>
      </w:r>
      <w:r>
        <w:rPr>
          <w:sz w:val="19"/>
        </w:rPr>
        <w:t>USA (Medicaid)-Daten, aber Fragestellung zu niedrigschwelliger Zugangssteuerung auf andere Systeme übertragbar</w:t>
      </w:r>
    </w:p>
    <w:p>
      <w:r>
        <w:rPr>
          <w:color w:val="5A7D3A"/>
          <w:sz w:val="18"/>
        </w:rPr>
        <w:t>https://pubmed.ncbi.nlm.nih.gov/42744115/</w:t>
      </w:r>
    </w:p>
    <w:p>
      <w:pPr>
        <w:pStyle w:val="Heading2"/>
      </w:pPr>
      <w:r>
        <w:t>Routinedaten in der onkologischen Versorgungsforschung: Chancen und Herausforderungen</w:t>
      </w:r>
    </w:p>
    <w:p>
      <w:r>
        <w:rPr>
          <w:i/>
          <w:color w:val="666666"/>
          <w:sz w:val="18"/>
        </w:rPr>
        <w:t>Kästner A et al.  ·  Gesundheitswesen  ·  15.09.2026  ·  PMID 42743977</w:t>
      </w:r>
    </w:p>
    <w:p>
      <w:r>
        <w:t>Qualitative Analyse praktischer Erfahrungen mit Krebsregisterdaten und Abrechnungsdaten von Krankenkassen für Versorgungsforschung am Beispiel eines Innovationsfonds-Projekts.</w:t>
      </w:r>
    </w:p>
    <w:p>
      <w:r>
        <w:rPr>
          <w:b/>
        </w:rPr>
        <w:t xml:space="preserve">Ergebnis: </w:t>
      </w:r>
      <w:r>
        <w:t>Verlinkung von Krebsregistern und Abrechnungsdaten ermöglicht umfassende Analysen von Langzeitoutcomes und Versorgungsstrukturen, erfordert jedoch zeitintensive Abstimmungs- und Genehmigungsprozesse sowie spezialisierte methodische Expertise.</w:t>
      </w:r>
    </w:p>
    <w:p>
      <w:r>
        <w:rPr>
          <w:b/>
          <w:sz w:val="19"/>
        </w:rPr>
        <w:t xml:space="preserve">Übertragbarkeit: </w:t>
      </w:r>
      <w:r>
        <w:rPr>
          <w:sz w:val="19"/>
        </w:rPr>
        <w:t>Deutsches Gesundheitssystem, Krebsregister nach §65c SGB V und gesetzliche Krankenkassen</w:t>
      </w:r>
    </w:p>
    <w:p>
      <w:r>
        <w:rPr>
          <w:color w:val="5A7D3A"/>
          <w:sz w:val="18"/>
        </w:rPr>
        <w:t>https://pubmed.ncbi.nlm.nih.gov/42743977/</w:t>
      </w:r>
    </w:p>
    <w:p>
      <w:pPr>
        <w:pStyle w:val="Heading2"/>
      </w:pPr>
      <w:r>
        <w:t>Präferenzen für dezentrale ophthalmologische Kliniken: Diskrete-Wahl-Experiment im UK</w:t>
      </w:r>
    </w:p>
    <w:p>
      <w:r>
        <w:rPr>
          <w:i/>
          <w:color w:val="666666"/>
          <w:sz w:val="18"/>
        </w:rPr>
        <w:t>Ndwandwe S et al.  ·  PLoS One  ·  15.09.2026  ·  PMID 42743352</w:t>
      </w:r>
    </w:p>
    <w:p>
      <w:r>
        <w:t>Diskrete-Wahl-Experiment mit 389 Befragten (Patienten, Fachkräfte, Öffentlichkeit) zu Präferenzen für Merkmale einer techniker-geleiteten asynchronen Augenklinik zur Überwachung chronischer Augenerkrankungen.</w:t>
      </w:r>
    </w:p>
    <w:p>
      <w:r>
        <w:rPr>
          <w:b/>
        </w:rPr>
        <w:t xml:space="preserve">Ergebnis: </w:t>
      </w:r>
      <w:r>
        <w:t>Wer einen Techniker statt Kliniker sah und Ergebnisse per Post erhielt, benötigte Reduktion der Terminverzögerung um 6,27 Monate (95% KI 4,52–8,03) oder Fahrtzeit um 153 Minuten (95% KI 88–219); techniker-geleitete Modelle könnten kliniker-geleitete Services ergänzen, wenn sie Verzögerungen verkürzen.</w:t>
      </w:r>
    </w:p>
    <w:p>
      <w:r>
        <w:rPr>
          <w:b/>
          <w:sz w:val="19"/>
        </w:rPr>
        <w:t xml:space="preserve">Übertragbarkeit: </w:t>
      </w:r>
      <w:r>
        <w:rPr>
          <w:sz w:val="19"/>
        </w:rPr>
        <w:t>UK NHS-System, teilweise übertragbar auf dezentrale Versorgungsmodelle in Deutschland</w:t>
      </w:r>
    </w:p>
    <w:p>
      <w:r>
        <w:rPr>
          <w:color w:val="5A7D3A"/>
          <w:sz w:val="18"/>
        </w:rPr>
        <w:t>https://pubmed.ncbi.nlm.nih.gov/42743352/</w:t>
      </w:r>
    </w:p>
    <w:p>
      <w:pPr>
        <w:pStyle w:val="Heading2"/>
      </w:pPr>
      <w:r>
        <w:t>Psychische Belastung von Gesundheitsfachkräften in der COVID-19-Pandemie</w:t>
      </w:r>
    </w:p>
    <w:p>
      <w:r>
        <w:rPr>
          <w:i/>
          <w:color w:val="666666"/>
          <w:sz w:val="18"/>
        </w:rPr>
        <w:t>Peters C et al.  ·  Front Public Health  ·  31.08.2026  ·  PMID 42741285</w:t>
      </w:r>
    </w:p>
    <w:p>
      <w:r>
        <w:t>Querschnittstudie zu Arbeitsbedingungen und psychischer Gesundheit von 576 Beschäftigten in deutschen Gesundheits- und Sozialeinrichtungen während COVID-19.</w:t>
      </w:r>
    </w:p>
    <w:p>
      <w:r>
        <w:rPr>
          <w:b/>
        </w:rPr>
        <w:t xml:space="preserve">Ergebnis: </w:t>
      </w:r>
      <w:r>
        <w:t>59% waren Gesundheitsfachkräfte; diese berichteten schlechtere Arbeitsfähigkeit (6,9 vs. 7,3), höhere emotionale Belastung und depressive Symptome; ca. ein Fünftel zeigte moderate bis schwere psychische Belastung.</w:t>
      </w:r>
    </w:p>
    <w:p>
      <w:r>
        <w:rPr>
          <w:b/>
          <w:sz w:val="19"/>
        </w:rPr>
        <w:t xml:space="preserve">Übertragbarkeit: </w:t>
      </w:r>
      <w:r>
        <w:rPr>
          <w:sz w:val="19"/>
        </w:rPr>
        <w:t>Deutsche Routinedaten, Studie in Deutschland durchgeführt</w:t>
      </w:r>
    </w:p>
    <w:p>
      <w:r>
        <w:rPr>
          <w:color w:val="5A7D3A"/>
          <w:sz w:val="18"/>
        </w:rPr>
        <w:t>https://pubmed.ncbi.nlm.nih.gov/42741285/</w:t>
      </w:r>
    </w:p>
    <w:p>
      <w:pPr>
        <w:pStyle w:val="Heading2"/>
      </w:pPr>
      <w:r>
        <w:t>Zugang zur elektronischen Patientenakte über Krankenversicherer-Apps in Deutschland</w:t>
      </w:r>
    </w:p>
    <w:p>
      <w:r>
        <w:rPr>
          <w:i/>
          <w:color w:val="666666"/>
          <w:sz w:val="18"/>
        </w:rPr>
        <w:t>May S et al.  ·  JMIR Mhealth Uhealth  ·  14.09.2026  ·  PMID 42735900</w:t>
      </w:r>
    </w:p>
    <w:p>
      <w:r>
        <w:t>Qualitative Interviewstudie mit 23 Personen zu Nutzererfahrungen beim Einrichten und Authentifizieren des Zugangs zur ePA durch Versicherer-Apps.</w:t>
      </w:r>
    </w:p>
    <w:p>
      <w:r>
        <w:rPr>
          <w:b/>
        </w:rPr>
        <w:t xml:space="preserve">Ergebnis: </w:t>
      </w:r>
      <w:r>
        <w:t>Zugang besteht nicht aus einem einzelnen Schritt, sondern aus fünf interdependenten Phasen (Orientierung, technischer Zugang, Verifizierung, Unterbrechungen, initiale Nutzung); Barrieren akkumulieren sich über Phasen hinweg und führen zu wiederholten Versuchen.</w:t>
      </w:r>
    </w:p>
    <w:p>
      <w:r>
        <w:rPr>
          <w:b/>
          <w:sz w:val="19"/>
        </w:rPr>
        <w:t xml:space="preserve">Übertragbarkeit: </w:t>
      </w:r>
      <w:r>
        <w:rPr>
          <w:sz w:val="19"/>
        </w:rPr>
        <w:t>Deutsche Routinedaten und ePA-Implementierung, direkt für deutsches System anwendbar</w:t>
      </w:r>
    </w:p>
    <w:p>
      <w:r>
        <w:rPr>
          <w:color w:val="5A7D3A"/>
          <w:sz w:val="18"/>
        </w:rPr>
        <w:t>https://pubmed.ncbi.nlm.nih.gov/42735900/</w:t>
      </w:r>
    </w:p>
    <w:p>
      <w:pPr>
        <w:pStyle w:val="Heading1"/>
      </w:pPr>
      <w:r>
        <w:t>Aufgenommen am 15.09.2026</w:t>
      </w:r>
    </w:p>
    <w:p>
      <w:pPr>
        <w:pStyle w:val="Heading2"/>
      </w:pPr>
      <w:r>
        <w:t>Design-Richtlinien für Online-Gesundheitsforen</w:t>
      </w:r>
    </w:p>
    <w:p>
      <w:r>
        <w:rPr>
          <w:i/>
          <w:color w:val="666666"/>
          <w:sz w:val="18"/>
        </w:rPr>
        <w:t>Marshall P et al.  ·  J Med Internet Res  ·  14.09.2026  ·  PMID 42735377</w:t>
      </w:r>
    </w:p>
    <w:p>
      <w:r>
        <w:t>Qualitative Studie mit 54 Interviews und Workshops zur Entwicklung evidenzgestützter Designrichtlinien für sichere Online-Gesundheitsforen basierend auf Selbstbestimmungstheorie.</w:t>
      </w:r>
    </w:p>
    <w:p>
      <w:r>
        <w:rPr>
          <w:b/>
        </w:rPr>
        <w:t xml:space="preserve">Ergebnis: </w:t>
      </w:r>
      <w:r>
        <w:t>Vier übergeordnete Designprinzipien identifiziert (Autonomie, Kompetenz, Zugehörigkeit, Sicherheit) mit pragmatischen Umsetzungsstrategien; Ergebnisse zeigen gemischte Nutzererfahrungen und Bedarf für nutzerzentrierte Weiterentwicklung.</w:t>
      </w:r>
    </w:p>
    <w:p>
      <w:r>
        <w:rPr>
          <w:b/>
          <w:sz w:val="19"/>
        </w:rPr>
        <w:t xml:space="preserve">Übertragbarkeit: </w:t>
      </w:r>
      <w:r>
        <w:rPr>
          <w:sz w:val="19"/>
        </w:rPr>
        <w:t>UK-Studie, aber Fragestellung zu Prozessqualität und Nutzerperspektive systemunabhängig übertragbar.</w:t>
      </w:r>
    </w:p>
    <w:p>
      <w:r>
        <w:rPr>
          <w:color w:val="5A7D3A"/>
          <w:sz w:val="18"/>
        </w:rPr>
        <w:t>https://pubmed.ncbi.nlm.nih.gov/42735377/</w:t>
      </w:r>
    </w:p>
    <w:p>
      <w:pPr>
        <w:pStyle w:val="Heading2"/>
      </w:pPr>
      <w:r>
        <w:t>Hepatitis-B-Disparitäten bei Migranten in Dänemark</w:t>
      </w:r>
    </w:p>
    <w:p>
      <w:r>
        <w:rPr>
          <w:i/>
          <w:color w:val="666666"/>
          <w:sz w:val="18"/>
        </w:rPr>
        <w:t>Deal A et al.  ·  Eur J Public Health  ·  04.08.2026  ·  PMID 42734651</w:t>
      </w:r>
    </w:p>
    <w:p>
      <w:r>
        <w:t>Matched-Cohort-Studie mit 179.110 Migranten und 1.049.345 Dänen über 23 Jahre zur Erfassung von HBV-Diagnoseraten und Verzögerungen.</w:t>
      </w:r>
    </w:p>
    <w:p>
      <w:r>
        <w:rPr>
          <w:b/>
        </w:rPr>
        <w:t xml:space="preserve">Ergebnis: </w:t>
      </w:r>
      <w:r>
        <w:t>Migranten zeigten 30,6-fach erhöhtes HBV-Diagnosrisiko (95%-KI: 26,7–35,2); durchschnittliche Verzögerung von Ankunft bis Diagnose 5,4 Jahre; Unterversorgung bei Personen außerhalb routinemäßiger Screening-Prozesse.</w:t>
      </w:r>
    </w:p>
    <w:p>
      <w:r>
        <w:rPr>
          <w:b/>
          <w:sz w:val="19"/>
        </w:rPr>
        <w:t xml:space="preserve">Übertragbarkeit: </w:t>
      </w:r>
      <w:r>
        <w:rPr>
          <w:sz w:val="19"/>
        </w:rPr>
        <w:t>Dänemark, Sozialversicherungssystem vergleichbar mit Deutschland, aussagekräftig für Migrantenpopulationen.</w:t>
      </w:r>
    </w:p>
    <w:p>
      <w:r>
        <w:rPr>
          <w:color w:val="5A7D3A"/>
          <w:sz w:val="18"/>
        </w:rPr>
        <w:t>https://pubmed.ncbi.nlm.nih.gov/42734651/</w:t>
      </w:r>
    </w:p>
    <w:p>
      <w:pPr>
        <w:pStyle w:val="Heading2"/>
      </w:pPr>
      <w:r>
        <w:t>Indirekte Effektivitätsvergleich Tafamidis vs. Acoramidis bei Transthyretin-Kardiomyopathie</w:t>
      </w:r>
    </w:p>
    <w:p>
      <w:r>
        <w:rPr>
          <w:i/>
          <w:color w:val="666666"/>
          <w:sz w:val="18"/>
        </w:rPr>
        <w:t>Debonnaire P et al.  ·  J Comp Eff Res  ·  14.09.2026  ·  PMID 42734113</w:t>
      </w:r>
    </w:p>
    <w:p>
      <w:r>
        <w:t>Trial-Emulation-Studie mit indirektem Vergleich zweier Transthyretin-Stabilisatoren basierend auf Registerdaten und klinischen Trials.</w:t>
      </w:r>
    </w:p>
    <w:p>
      <w:r>
        <w:rPr>
          <w:b/>
        </w:rPr>
        <w:t xml:space="preserve">Ergebnis: </w:t>
      </w:r>
      <w:r>
        <w:t>Nach Kalibrierung zeigte Acoramidis eine 42-Monats-Mortalitätsrate von 24,0% versus kalibrierte 31,2% für Tafamidis; relatives Mortalitätsrisiko 0,78 (95%-KI: 0,60–0,99), was auf 22% niedrigeres Sterblichkeitsrisiko deutet.</w:t>
      </w:r>
    </w:p>
    <w:p>
      <w:r>
        <w:rPr>
          <w:b/>
          <w:sz w:val="19"/>
        </w:rPr>
        <w:t xml:space="preserve">Übertragbarkeit: </w:t>
      </w:r>
      <w:r>
        <w:rPr>
          <w:sz w:val="19"/>
        </w:rPr>
        <w:t>Gering: US-Registerdaten; aber Fragestellung zur Vergleichbarkeit von Wirkstoffen systemunabhängig relevant.</w:t>
      </w:r>
    </w:p>
    <w:p>
      <w:r>
        <w:rPr>
          <w:color w:val="5A7D3A"/>
          <w:sz w:val="18"/>
        </w:rPr>
        <w:t>https://pubmed.ncbi.nlm.nih.gov/42734113/</w:t>
      </w:r>
    </w:p>
    <w:p>
      <w:pPr>
        <w:pStyle w:val="Heading2"/>
      </w:pPr>
      <w:r>
        <w:t>SESAME-Checkliste für Adverse-Event- und Fehlerberichterstattung</w:t>
      </w:r>
    </w:p>
    <w:p>
      <w:r>
        <w:rPr>
          <w:i/>
          <w:color w:val="666666"/>
          <w:sz w:val="18"/>
        </w:rPr>
        <w:t>Griffey RT et al.  ·  J Patient Saf  ·  11.09.2026  ·  PMID 42725452</w:t>
      </w:r>
    </w:p>
    <w:p>
      <w:r>
        <w:t>Methodisches Konsensuspapier zur Entwicklung einer 44-Item-Checkliste (SESAME) zur Standardisierung der Berichterstattung in Studien zu unerwünschten Ereignissen und medizinischen Fehlern.</w:t>
      </w:r>
    </w:p>
    <w:p>
      <w:r>
        <w:rPr>
          <w:b/>
        </w:rPr>
        <w:t xml:space="preserve">Ergebnis: </w:t>
      </w:r>
      <w:r>
        <w:t>SESAME-Checkliste mit 44 Items deckt alle kritischen Reporting-Domänen ab; Ziel ist Verbesserung der Vollständigkeit, Vergleichbarkeit und Reproduzierbarkeit; Entwicklung nach EQUATOR-Standards mit internationalem Expertenkonsens.</w:t>
      </w:r>
    </w:p>
    <w:p>
      <w:r>
        <w:rPr>
          <w:b/>
          <w:sz w:val="19"/>
        </w:rPr>
        <w:t xml:space="preserve">Übertragbarkeit: </w:t>
      </w:r>
      <w:r>
        <w:rPr>
          <w:sz w:val="19"/>
        </w:rPr>
        <w:t>Internationales Konsensdokument zur Studienqualität, systemunabhängig für Patientensicherheitsforschung relevant.</w:t>
      </w:r>
    </w:p>
    <w:p>
      <w:r>
        <w:rPr>
          <w:color w:val="5A7D3A"/>
          <w:sz w:val="18"/>
        </w:rPr>
        <w:t>https://pubmed.ncbi.nlm.nih.gov/42725452/</w:t>
      </w:r>
    </w:p>
    <w:p>
      <w:pPr>
        <w:pStyle w:val="Heading2"/>
      </w:pPr>
      <w:r>
        <w:t>Koordinierter Ansatz zur integrierten Sturz- und Frakturprävention</w:t>
      </w:r>
    </w:p>
    <w:p>
      <w:r>
        <w:rPr>
          <w:i/>
          <w:color w:val="666666"/>
          <w:sz w:val="18"/>
        </w:rPr>
        <w:t>van der Velde N et al.  ·  Eur Geriatr Med  ·  10.09.2026  ·  PMID 42720850</w:t>
      </w:r>
    </w:p>
    <w:p>
      <w:r>
        <w:t>Position Paper von sieben internationalen Fachgesellschaften zu evidenzgestützter integrierter Versorgung für Sturz- und Frakturprävention bei älteren Menschen.</w:t>
      </w:r>
    </w:p>
    <w:p>
      <w:r>
        <w:rPr>
          <w:b/>
        </w:rPr>
        <w:t xml:space="preserve">Ergebnis: </w:t>
      </w:r>
      <w:r>
        <w:t>Kernerkenntnis: Fragmentierte Versorgungsstrukturen erfordern integrierte Fall- und Frakturprävention als Public-Health-Priorität; Empfehlungen für interdisziplinäre Zusammenarbeit, Trainings und systemische Ressourcenallokation.</w:t>
      </w:r>
    </w:p>
    <w:p>
      <w:r>
        <w:rPr>
          <w:b/>
          <w:sz w:val="19"/>
        </w:rPr>
        <w:t xml:space="preserve">Übertragbarkeit: </w:t>
      </w:r>
      <w:r>
        <w:rPr>
          <w:sz w:val="19"/>
        </w:rPr>
        <w:t>Europäischer Konsens mit Fokus auf Versorgungsprozesse, Qualität und Implementierung in Regelversorgung.</w:t>
      </w:r>
    </w:p>
    <w:p>
      <w:r>
        <w:rPr>
          <w:color w:val="5A7D3A"/>
          <w:sz w:val="18"/>
        </w:rPr>
        <w:t>https://pubmed.ncbi.nlm.nih.gov/42720850/</w:t>
      </w:r>
    </w:p>
    <w:p>
      <w:pPr>
        <w:pStyle w:val="Heading2"/>
      </w:pPr>
      <w:r>
        <w:t>Tabakrauchexposition und Gesundheitsdienstleistungen bei jungen Erwachsenen</w:t>
      </w:r>
    </w:p>
    <w:p>
      <w:r>
        <w:rPr>
          <w:i/>
          <w:color w:val="666666"/>
          <w:sz w:val="18"/>
        </w:rPr>
        <w:t>Akhtar S et al.  ·  BMC Health Serv Res  ·  04.09.2026  ·  PMID 42717348</w:t>
      </w:r>
    </w:p>
    <w:p>
      <w:r>
        <w:t>Querschnittsstudie mit 1.323 Studierenden zur Erfassung von Tabakrauchexposition, Symptomen und Inanspruchnahme von Gesundheitsdienstleistungen.</w:t>
      </w:r>
    </w:p>
    <w:p>
      <w:r>
        <w:rPr>
          <w:b/>
        </w:rPr>
        <w:t xml:space="preserve">Ergebnis: </w:t>
      </w:r>
      <w:r>
        <w:t>Exposition gegenüber Tabakrauch 55,9% (740/1.323); Husten (aOR 2,10; 95%-KI 1,66–2,64), Dyspnoe (aOR 1,30; 95%-KI 1,01–1,67) und Asthma (aOR 1,95; 95%-KI 1,43–2,65) signifikant mit Inanspruchnahme assoziiert.</w:t>
      </w:r>
    </w:p>
    <w:p>
      <w:r>
        <w:rPr>
          <w:b/>
          <w:sz w:val="19"/>
        </w:rPr>
        <w:t xml:space="preserve">Übertragbarkeit: </w:t>
      </w:r>
      <w:r>
        <w:rPr>
          <w:sz w:val="19"/>
        </w:rPr>
        <w:t>Kuwait, aber Fragestellung zu Symptomen, Morbidität und Versorgungsnutzung epidemiologisch aussagekräftig.</w:t>
      </w:r>
    </w:p>
    <w:p>
      <w:r>
        <w:rPr>
          <w:color w:val="5A7D3A"/>
          <w:sz w:val="18"/>
        </w:rPr>
        <w:t>https://pubmed.ncbi.nlm.nih.gov/42717348/</w:t>
      </w:r>
    </w:p>
    <w:p>
      <w:pPr>
        <w:pStyle w:val="Heading1"/>
      </w:pPr>
      <w:r>
        <w:t>Aufgenommen am 14.09.2026</w:t>
      </w:r>
    </w:p>
    <w:p>
      <w:pPr>
        <w:pStyle w:val="Heading2"/>
      </w:pPr>
      <w:r>
        <w:t>Kliniker- und Informatiker-Perspektiven auf Harm-Risk-Vorhersage-Tools</w:t>
      </w:r>
    </w:p>
    <w:p>
      <w:r>
        <w:rPr>
          <w:i/>
          <w:color w:val="666666"/>
          <w:sz w:val="18"/>
        </w:rPr>
        <w:t>Lam JYJ et al.  ·  J Eval Clin Pract  ·  Sept. 2026  ·  PMID 42732558</w:t>
      </w:r>
    </w:p>
    <w:p>
      <w:r>
        <w:t>Qualitative Studie mit 22 Interviews (6 Ärzte, 11 Pharmazeuten, 5 Informatiker) zur Implementierung digitaler Risk-Prediction-Tools für Medikamentenschaden in australischen Krankenhäusern.</w:t>
      </w:r>
    </w:p>
    <w:p>
      <w:r>
        <w:rPr>
          <w:b/>
        </w:rPr>
        <w:t xml:space="preserve">Ergebnis: </w:t>
      </w:r>
      <w:r>
        <w:t>Fünf Themen mit Einfluss auf Adoption: Vertrauen der Kliniker, wahrgenommener Nutzen, organisatorische Bereitschaft, automatisierungsfähigkeit und Workflow-Kompatibilität. Barrieren: schlechte Systemintegration, Unsicherheit über Tool-Zuverlässigkeit; Enabler: umfassende Feedback-Mechanismen, Ressourcenplanung.</w:t>
      </w:r>
    </w:p>
    <w:p>
      <w:r>
        <w:rPr>
          <w:b/>
          <w:sz w:val="19"/>
        </w:rPr>
        <w:t xml:space="preserve">Übertragbarkeit: </w:t>
      </w:r>
      <w:r>
        <w:rPr>
          <w:sz w:val="19"/>
        </w:rPr>
        <w:t>Australien, aber klinische Perspektiven auf digitale Sicherheitstools übertragbar</w:t>
      </w:r>
    </w:p>
    <w:p>
      <w:r>
        <w:rPr>
          <w:color w:val="5A7D3A"/>
          <w:sz w:val="18"/>
        </w:rPr>
        <w:t>https://pubmed.ncbi.nlm.nih.gov/42732558/</w:t>
      </w:r>
    </w:p>
    <w:p>
      <w:pPr>
        <w:pStyle w:val="Heading2"/>
      </w:pPr>
      <w:r>
        <w:t>ADHD-Medikation und Selbstverletzungsrisiko: multinational</w:t>
      </w:r>
    </w:p>
    <w:p>
      <w:r>
        <w:rPr>
          <w:i/>
          <w:color w:val="666666"/>
          <w:sz w:val="18"/>
        </w:rPr>
        <w:t>Chan AYL et al.  ·  BMJ Ment Health  ·  12.09.2026  ·  PMID 42731881</w:t>
      </w:r>
    </w:p>
    <w:p>
      <w:r>
        <w:t>Multinational selbstkontrollierte Fallserie zur Assoziation zwischen ADHD-Medikation und Selbstverletzungen anhand von fünf Ländern-Datenbanken.</w:t>
      </w:r>
    </w:p>
    <w:p>
      <w:r>
        <w:rPr>
          <w:b/>
        </w:rPr>
        <w:t xml:space="preserve">Ergebnis: </w:t>
      </w:r>
      <w:r>
        <w:t>Höchstes Risiko 90 Tage vor Therapiestart (IRR 2,58), dann während ersten 90 Tage (IRR 1,78) und später (IRR 1,27). Muster konsistent über alle Datenbanken – erhöhtes Risiko vor Behandlung deutet auf unbehandelte ADHD-Symptome, nicht auf Medikation hin.</w:t>
      </w:r>
    </w:p>
    <w:p>
      <w:r>
        <w:rPr>
          <w:b/>
          <w:sz w:val="19"/>
        </w:rPr>
        <w:t xml:space="preserve">Übertragbarkeit: </w:t>
      </w:r>
      <w:r>
        <w:rPr>
          <w:sz w:val="19"/>
        </w:rPr>
        <w:t>Multinational, UK, Neuseeland, Taiwan eingeschlossen</w:t>
      </w:r>
    </w:p>
    <w:p>
      <w:r>
        <w:rPr>
          <w:color w:val="5A7D3A"/>
          <w:sz w:val="18"/>
        </w:rPr>
        <w:t>https://pubmed.ncbi.nlm.nih.gov/42731881/</w:t>
      </w:r>
    </w:p>
    <w:p>
      <w:pPr>
        <w:pStyle w:val="Heading2"/>
      </w:pPr>
      <w:r>
        <w:t>Online-Infektionstests: Systemische Vorteile und Barrieren</w:t>
      </w:r>
    </w:p>
    <w:p>
      <w:r>
        <w:rPr>
          <w:i/>
          <w:color w:val="666666"/>
          <w:sz w:val="18"/>
        </w:rPr>
        <w:t>Grace D et al.  ·  BMC Health Serv Res  ·  05.09.2026  ·  PMID 42728588</w:t>
      </w:r>
    </w:p>
    <w:p>
      <w:r>
        <w:t>Qualitative Interviews mit 41 Fachleuten zu Implementierung eines Online-Tests für sexuell übertragbare Infektionen (GetCheckedOnline) in Ontario.</w:t>
      </w:r>
    </w:p>
    <w:p>
      <w:r>
        <w:rPr>
          <w:b/>
        </w:rPr>
        <w:t xml:space="preserve">Ergebnis: </w:t>
      </w:r>
      <w:r>
        <w:t>Fünf zentrale Spannungsfelder identifiziert: Zugang, Datenschutz, Koordination, Agency und Systemauswirkungen. Teilnehmende erkannten Vorteile (besserer Zugang), berichteten aber auch unerwünschte Folgen (Koordinationsverluste zwischen Sektoren, Datenschutzbedenken).</w:t>
      </w:r>
    </w:p>
    <w:p>
      <w:r>
        <w:rPr>
          <w:b/>
          <w:sz w:val="19"/>
        </w:rPr>
        <w:t xml:space="preserve">Übertragbarkeit: </w:t>
      </w:r>
      <w:r>
        <w:rPr>
          <w:sz w:val="19"/>
        </w:rPr>
        <w:t>Kanada, aber Fragestellung zu digitalen Testmodellen systemübergreifend relevant</w:t>
      </w:r>
    </w:p>
    <w:p>
      <w:r>
        <w:rPr>
          <w:color w:val="5A7D3A"/>
          <w:sz w:val="18"/>
        </w:rPr>
        <w:t>https://pubmed.ncbi.nlm.nih.gov/42728588/</w:t>
      </w:r>
    </w:p>
    <w:p>
      <w:pPr>
        <w:pStyle w:val="Heading2"/>
      </w:pPr>
      <w:r>
        <w:t>Notfall- und Katastrophenbereitschaft in Krankenhäusern Äthiopiens</w:t>
      </w:r>
    </w:p>
    <w:p>
      <w:r>
        <w:rPr>
          <w:i/>
          <w:color w:val="666666"/>
          <w:sz w:val="18"/>
        </w:rPr>
        <w:t>Farah B et al.  ·  Res Health Serv Reg  ·  10.09.2026  ·  PMID 42720815</w:t>
      </w:r>
    </w:p>
    <w:p>
      <w:r>
        <w:t>Querschnittsstudie zur Notfall- und Katastrophenbereitschaft in vier öffentlichen Zonal-Krankenhäusern in der Somali-Region mit WHO-Hospital-Safety-Index Modul 4.</w:t>
      </w:r>
    </w:p>
    <w:p>
      <w:r>
        <w:rPr>
          <w:b/>
        </w:rPr>
        <w:t xml:space="preserve">Ergebnis: </w:t>
      </w:r>
      <w:r>
        <w:t>Mittlere Bereitschaftswerte von 45%; tiefste Werte für Notfall- und Katastrophenreaktion/Wiederherstellung (41,3%). Defizite in Reaktionsplanung, logistischer Bereitschaft, Finanzadministration und Kommunikationssystemen; fehlende externe Stakeholder-Koordination.</w:t>
      </w:r>
    </w:p>
    <w:p>
      <w:r>
        <w:rPr>
          <w:b/>
          <w:sz w:val="19"/>
        </w:rPr>
        <w:t xml:space="preserve">Übertragbarkeit: </w:t>
      </w:r>
      <w:r>
        <w:rPr>
          <w:sz w:val="19"/>
        </w:rPr>
        <w:t>Äthiopien (LMIC), aber HTA zur Systemreife allgemein relevant</w:t>
      </w:r>
    </w:p>
    <w:p>
      <w:r>
        <w:rPr>
          <w:color w:val="5A7D3A"/>
          <w:sz w:val="18"/>
        </w:rPr>
        <w:t>https://pubmed.ncbi.nlm.nih.gov/42720815/</w:t>
      </w:r>
    </w:p>
    <w:p>
      <w:pPr>
        <w:pStyle w:val="Heading2"/>
      </w:pPr>
      <w:r>
        <w:t>Risk Adjustment in Medicare Advantage mit Encounter-Daten</w:t>
      </w:r>
    </w:p>
    <w:p>
      <w:r>
        <w:rPr>
          <w:i/>
          <w:color w:val="666666"/>
          <w:sz w:val="18"/>
        </w:rPr>
        <w:t>Carlin CS et al.  ·  Health Serv Res  ·  Okt. 2026  ·  PMID 42720268</w:t>
      </w:r>
    </w:p>
    <w:p>
      <w:r>
        <w:t>Vergleichende Re-Schätzung des CMS-Hierarchical-Condition-Category-Modells mit Traditional-Medicare- vs. Medicare-Advantage-Claims 2016–2022.</w:t>
      </w:r>
    </w:p>
    <w:p>
      <w:r>
        <w:rPr>
          <w:b/>
        </w:rPr>
        <w:t xml:space="preserve">Ergebnis: </w:t>
      </w:r>
      <w:r>
        <w:t>MA-Daten zeigen 8,9% niedrigere durchschnittliche HCC-Scores als TM-Daten; Unterschiede variieren über Scoreverteilung. Keine neuen Anreizverzerrungen zu Lasten von Minoritäten oder ländlichen Versicherten.</w:t>
      </w:r>
    </w:p>
    <w:p>
      <w:r>
        <w:rPr>
          <w:b/>
          <w:sz w:val="19"/>
        </w:rPr>
        <w:t xml:space="preserve">Übertragbarkeit: </w:t>
      </w:r>
      <w:r>
        <w:rPr>
          <w:sz w:val="19"/>
        </w:rPr>
        <w:t>US-System (MA/Medicare), aber relevante Methodologie für Risk-Adjustment</w:t>
      </w:r>
    </w:p>
    <w:p>
      <w:r>
        <w:rPr>
          <w:color w:val="5A7D3A"/>
          <w:sz w:val="18"/>
        </w:rPr>
        <w:t>https://pubmed.ncbi.nlm.nih.gov/42720268/</w:t>
      </w:r>
    </w:p>
    <w:p>
      <w:pPr>
        <w:pStyle w:val="Heading2"/>
      </w:pPr>
      <w:r>
        <w:t>MISSION4Sax: Sektorübergreifende onkologische Versorgungsmodelle</w:t>
      </w:r>
    </w:p>
    <w:p>
      <w:r>
        <w:rPr>
          <w:i/>
          <w:color w:val="666666"/>
          <w:sz w:val="18"/>
        </w:rPr>
        <w:t>Richter C et al.  ·  J Cancer Res Clin Oncol  ·  02.09.2026  ·  PMID 42693346</w:t>
      </w:r>
    </w:p>
    <w:p>
      <w:r>
        <w:t>Studienprotokoll eines multizentrischen Pilotstudien zur Machbarkeit einer integrierten onkologischen Versorgung über Regionaltumorbrett zwischen Maximalversorgung und Landpraxis mit standardisierten Patientenpfaden.</w:t>
      </w:r>
    </w:p>
    <w:p>
      <w:r>
        <w:rPr>
          <w:b/>
        </w:rPr>
        <w:t xml:space="preserve">Ergebnis: </w:t>
      </w:r>
      <w:r>
        <w:t>Geplante Bewertung von Machbarkeit, Akzeptanz, Implementierung und Datenqualität (keine Effektivitätsfrage); Fokus auf Wartezeiten, Adhärenz, klinische und Patient-Reported Outcomes. Routinedaten der Krankenkasse als externe Referenz geplant, keine Individualverlinkung.</w:t>
      </w:r>
    </w:p>
    <w:p>
      <w:r>
        <w:rPr>
          <w:b/>
          <w:sz w:val="19"/>
        </w:rPr>
        <w:t xml:space="preserve">Übertragbarkeit: </w:t>
      </w:r>
      <w:r>
        <w:rPr>
          <w:sz w:val="19"/>
        </w:rPr>
        <w:t>Deutschland (Sachsen), Versorgungsforschungs-Design direkt übertragbar</w:t>
      </w:r>
    </w:p>
    <w:p>
      <w:r>
        <w:rPr>
          <w:color w:val="5A7D3A"/>
          <w:sz w:val="18"/>
        </w:rPr>
        <w:t>https://pubmed.ncbi.nlm.nih.gov/42693346/</w:t>
      </w:r>
    </w:p>
    <w:p>
      <w:pPr>
        <w:pStyle w:val="Heading1"/>
      </w:pPr>
      <w:r>
        <w:t>Aufgenommen am 13.09.2026</w:t>
      </w:r>
    </w:p>
    <w:p>
      <w:pPr>
        <w:pStyle w:val="Heading2"/>
      </w:pPr>
      <w:r>
        <w:t>Direkt-OP-Teledermatologie für Hautkrebs: Sicherheit und Effizienz</w:t>
      </w:r>
    </w:p>
    <w:p>
      <w:r>
        <w:rPr>
          <w:i/>
          <w:color w:val="666666"/>
          <w:sz w:val="18"/>
        </w:rPr>
        <w:t>Nour S et al.  ·  BMJ Open Qual  ·  11.09.2026  ·  PMID 42731848</w:t>
      </w:r>
    </w:p>
    <w:p>
      <w:r>
        <w:t>Evaluierung eines Direct-to-Surgery-Teledermatologie-Pfads für verdächtige Hautkrebs-Referrals in einem großen NHS-Hautkrebs-Service mit 18.587 Patienten.</w:t>
      </w:r>
    </w:p>
    <w:p>
      <w:r>
        <w:rPr>
          <w:b/>
        </w:rPr>
        <w:t xml:space="preserve">Ergebnis: </w:t>
      </w:r>
      <w:r>
        <w:t>Von 5.099 eingeschlossenen Patienten wurde 99,86% die 28-Tage-Faster-Diagnosis-Standard erreicht (Ziel: 75%); 75,5% der Melanom-/Plattenepithel-Karzinom-Patienten begannen Behandlung innerhalb der 62-Tage-Zielmarke. Histologie identifizierte 35,5% maligne und 15,5% prämaligne Pathologie; Diagnostische Konkordanz 41,5% (Cohen's κ=0,34). Komplikationsrate 1,3%. Der Pfad demonstriert sichere hochvolumige Hautkrebs-Chirurgie mit exzellenter Compliance zur Faster Diagnosis Standard.</w:t>
      </w:r>
    </w:p>
    <w:p>
      <w:r>
        <w:rPr>
          <w:b/>
          <w:sz w:val="19"/>
        </w:rPr>
        <w:t xml:space="preserve">Übertragbarkeit: </w:t>
      </w:r>
      <w:r>
        <w:rPr>
          <w:sz w:val="19"/>
        </w:rPr>
        <w:t>UK-NHS-Setting, aber Prozessoptimierung für Versorgung übertragbar</w:t>
      </w:r>
    </w:p>
    <w:p>
      <w:r>
        <w:rPr>
          <w:color w:val="5A7D3A"/>
          <w:sz w:val="18"/>
        </w:rPr>
        <w:t>https://pubmed.ncbi.nlm.nih.gov/42731848/</w:t>
      </w:r>
    </w:p>
    <w:p>
      <w:pPr>
        <w:pStyle w:val="Heading2"/>
      </w:pPr>
      <w:r>
        <w:t>Merkmale von Hausärzten und potenziell unangemessene Medikation bei älteren Patienten</w:t>
      </w:r>
    </w:p>
    <w:p>
      <w:r>
        <w:rPr>
          <w:i/>
          <w:color w:val="666666"/>
          <w:sz w:val="18"/>
        </w:rPr>
        <w:t>Tatsuno Y et al.  ·  Health Aff Sch  ·  28.08.2026  ·  PMID 42730259</w:t>
      </w:r>
    </w:p>
    <w:p>
      <w:r>
        <w:t>Japanische Querschnittsstudie zu Zusammenhängen zwischen Arztmerkmalen (Alter, Patientenvolumen) und der Verschreibung potenziell unangemessener Medikamente (PIMs) bei ≥75-Jährigen.</w:t>
      </w:r>
    </w:p>
    <w:p>
      <w:r>
        <w:rPr>
          <w:b/>
        </w:rPr>
        <w:t xml:space="preserve">Ergebnis: </w:t>
      </w:r>
      <w:r>
        <w:t>Von 184.097 Patienten erhielten 38,2% mindestens eine PIM; zwei Drittel der PIM-Verschreibungen konzentrierten sich auf 20% der Ärzte. Jüngere Ärzte (aOR 1,27; 95%-KI 1,05–1,55), solche mit niedrigerem Volumen älterer Patienten (aOR 1,39; 95%-KI 1,19–1,61) und Ärzte in Ost- oder Mittel-Japan verschrieben häufiger PIMs. Gezielte Interventionen bei Hochverschreibern könnten PIMs effizient reduzieren.</w:t>
      </w:r>
    </w:p>
    <w:p>
      <w:r>
        <w:rPr>
          <w:b/>
          <w:sz w:val="19"/>
        </w:rPr>
        <w:t xml:space="preserve">Übertragbarkeit: </w:t>
      </w:r>
      <w:r>
        <w:rPr>
          <w:sz w:val="19"/>
        </w:rPr>
        <w:t>Japan, aber Fragestellung zur Arztqualität systemunabhängig übertragbar</w:t>
      </w:r>
    </w:p>
    <w:p>
      <w:r>
        <w:rPr>
          <w:color w:val="5A7D3A"/>
          <w:sz w:val="18"/>
        </w:rPr>
        <w:t>https://pubmed.ncbi.nlm.nih.gov/42730259/</w:t>
      </w:r>
    </w:p>
    <w:p>
      <w:pPr>
        <w:pStyle w:val="Heading2"/>
      </w:pPr>
      <w:r>
        <w:t>Integration Flexibles Assertive Community Treatment mit kommunalen Sozialservices</w:t>
      </w:r>
    </w:p>
    <w:p>
      <w:r>
        <w:rPr>
          <w:i/>
          <w:color w:val="666666"/>
          <w:sz w:val="18"/>
        </w:rPr>
        <w:t>Kleijburg A et al.  ·  Int J Integr Care  ·  08.09.2026  ·  PMID 42729928</w:t>
      </w:r>
    </w:p>
    <w:p>
      <w:r>
        <w:t>Qualitative Studie mit 15 Interviews zur Implementierung von FACT+DSS-Teams (Flexible Assertive Community Treatment + District Social Services) in der Niederlande für Patienten mit schwerer psychischer Erkrankung.</w:t>
      </w:r>
    </w:p>
    <w:p>
      <w:r>
        <w:rPr>
          <w:b/>
        </w:rPr>
        <w:t xml:space="preserve">Ergebnis: </w:t>
      </w:r>
      <w:r>
        <w:t>FACT+DSS wurde von Teamkräften als deutlich positiv erlebt und verbesserte Zugangsbarrieren, Kontinuität der Versorgung, Case-Finding und Vernetzungskollaboration. Wichtige Erfolgsfaktoren waren starke Führung, geteilter Besitz, gleichberechtigte Zusammenarbeit und direkte Beziehungen. Barrieren waren unzureichende Ressourcen und fehlende klare Rollenverteilung.</w:t>
      </w:r>
    </w:p>
    <w:p>
      <w:r>
        <w:rPr>
          <w:b/>
          <w:sz w:val="19"/>
        </w:rPr>
        <w:t xml:space="preserve">Übertragbarkeit: </w:t>
      </w:r>
      <w:r>
        <w:rPr>
          <w:sz w:val="19"/>
        </w:rPr>
        <w:t>Niederlande, vergleichbares Sozialversicherungssystem, integrierte Versorgung</w:t>
      </w:r>
    </w:p>
    <w:p>
      <w:r>
        <w:rPr>
          <w:color w:val="5A7D3A"/>
          <w:sz w:val="18"/>
        </w:rPr>
        <w:t>https://pubmed.ncbi.nlm.nih.gov/42729928/</w:t>
      </w:r>
    </w:p>
    <w:p>
      <w:pPr>
        <w:pStyle w:val="Heading2"/>
      </w:pPr>
      <w:r>
        <w:t>Auswirkung Brandon Act auf Suizidversuche im US-Militär</w:t>
      </w:r>
    </w:p>
    <w:p>
      <w:r>
        <w:rPr>
          <w:i/>
          <w:color w:val="666666"/>
          <w:sz w:val="18"/>
        </w:rPr>
        <w:t>Yoon J et al.  ·  Health Serv Res  ·  Okt. 2026  ·  PMID 42728782</w:t>
      </w:r>
    </w:p>
    <w:p>
      <w:r>
        <w:t>Unterbrochene Zeitreihen-Analyse (2018–2024) der Military Health System-Daten zu Effekten des Brandon Acts (Geheime Selbst-Überweisungs-Pathways für psychische Gesundheit) auf Suizidversuche bei Active-Duty-Soldaten.</w:t>
      </w:r>
    </w:p>
    <w:p>
      <w:r>
        <w:rPr>
          <w:b/>
        </w:rPr>
        <w:t xml:space="preserve">Ergebnis: </w:t>
      </w:r>
      <w:r>
        <w:t>Brandon Act im Dezember 2021 assoziiert mit unmittelbare Reduktion von 6,51 pro 100.000 (95%-KI: -10,54, -2,47) und Trendwechsel von -2,25 pro Quartal (95%-KI: -3,81, -0,70). Nach Implementation Mai 2023 weitere Reduktion von 21,19 pro 100.000 (95%-KI: -26,83, -15,55). Über 3 Jahre geschätzt ~3.800 Suizidversuche verhindert. Größte Effekte bei junior Enlisted, Frauen, Army/Marines.</w:t>
      </w:r>
    </w:p>
    <w:p>
      <w:r>
        <w:rPr>
          <w:b/>
          <w:sz w:val="19"/>
        </w:rPr>
        <w:t xml:space="preserve">Übertragbarkeit: </w:t>
      </w:r>
      <w:r>
        <w:rPr>
          <w:sz w:val="19"/>
        </w:rPr>
        <w:t>US-Militärsystem, aber Fragestellung zu Stigma-Reduktion systemunabhängig übertragbar</w:t>
      </w:r>
    </w:p>
    <w:p>
      <w:r>
        <w:rPr>
          <w:color w:val="5A7D3A"/>
          <w:sz w:val="18"/>
        </w:rPr>
        <w:t>https://pubmed.ncbi.nlm.nih.gov/42728782/</w:t>
      </w:r>
    </w:p>
    <w:p>
      <w:pPr>
        <w:pStyle w:val="Heading2"/>
      </w:pPr>
      <w:r>
        <w:t>Subjektive Bedarfserkennung und Inanspruchnahme psychischer Gesundheitsversorgung</w:t>
      </w:r>
    </w:p>
    <w:p>
      <w:r>
        <w:rPr>
          <w:i/>
          <w:color w:val="666666"/>
          <w:sz w:val="18"/>
        </w:rPr>
        <w:t>Reinhold AK et al.  ·  BMC Health Serv Res  ·  10.09.2026  ·  PMID 42728591</w:t>
      </w:r>
    </w:p>
    <w:p>
      <w:r>
        <w:t>Gemischte Methoden-Studie mit 456 Teilnehmern mit depressiven Symptomen (PHQ-9≥5) zur Diskrepanz zwischen objektivem, subjektivem Bedarf und tatsächlicher Inanspruchnahme von psychischer Versorgung.</w:t>
      </w:r>
    </w:p>
    <w:p>
      <w:r>
        <w:rPr>
          <w:b/>
        </w:rPr>
        <w:t xml:space="preserve">Ergebnis: </w:t>
      </w:r>
      <w:r>
        <w:t>Subjektive Bedarfserkennung ist starker Prädiktor für Inanspruchnahme: 38,1% der Negativ-Gescreenten und 45,8% der Positiv-Gescreenten berichteten weniger als "sehr genau" zu Suizid-Gedanken geantwortet zu haben. Qualitative Analyse (n=23) identifizierte eine Sechsteilung-Typologie von subjektivem Bedarf statt binärer Klassifikation.</w:t>
      </w:r>
    </w:p>
    <w:p>
      <w:r>
        <w:rPr>
          <w:b/>
          <w:sz w:val="19"/>
        </w:rPr>
        <w:t xml:space="preserve">Übertragbarkeit: </w:t>
      </w:r>
      <w:r>
        <w:rPr>
          <w:sz w:val="19"/>
        </w:rPr>
        <w:t>Deutsche Routinedaten, populationsbasierte Stichprobe, Hausarzt-nahe Versorgung</w:t>
      </w:r>
    </w:p>
    <w:p>
      <w:r>
        <w:rPr>
          <w:color w:val="5A7D3A"/>
          <w:sz w:val="18"/>
        </w:rPr>
        <w:t>https://pubmed.ncbi.nlm.nih.gov/42728591/</w:t>
      </w:r>
    </w:p>
    <w:p>
      <w:pPr>
        <w:pStyle w:val="Heading2"/>
      </w:pPr>
      <w:r>
        <w:t>Vial-Sharing-Strategie reduziert Arzneimittelabfall bei CT-Kontrastmittel</w:t>
      </w:r>
    </w:p>
    <w:p>
      <w:r>
        <w:rPr>
          <w:i/>
          <w:color w:val="666666"/>
          <w:sz w:val="18"/>
        </w:rPr>
        <w:t>Yin Y et al.  ·  BMC Health Serv Res  ·  30.07.2026  ·  PMID 42723046</w:t>
      </w:r>
    </w:p>
    <w:p>
      <w:r>
        <w:t>Retrospektive Studie in chinesischem Universitätskrankenhaus zur Kostenreduktion durch Umstellung von Einzelvial- auf gemeinsame Vial-Abrechnung für CT-Kontrastmittel mit Prozessoptimierung.</w:t>
      </w:r>
    </w:p>
    <w:p>
      <w:r>
        <w:rPr>
          <w:b/>
        </w:rPr>
        <w:t xml:space="preserve">Ergebnis: </w:t>
      </w:r>
      <w:r>
        <w:t>Vial-Sharing-Strategie führte zu jährlicher Einsparung von 2.906.398,8 mL Kontrastmittel und Kostenreduktion von 9.181.958,83 CNY; durchschnittlich 66,93 CNY Kostenreduktion pro Patient. Multidisziplinäre Prozessoptimierung verbesserte Drug Utilization Efficiency und Ressourcenschonung.</w:t>
      </w:r>
    </w:p>
    <w:p>
      <w:r>
        <w:rPr>
          <w:b/>
          <w:sz w:val="19"/>
        </w:rPr>
        <w:t xml:space="preserve">Übertragbarkeit: </w:t>
      </w:r>
      <w:r>
        <w:rPr>
          <w:sz w:val="19"/>
        </w:rPr>
        <w:t>China, aber Versorgungseffizienz-Ansatz für deutsche Krankenhäuser adaptierbar</w:t>
      </w:r>
    </w:p>
    <w:p>
      <w:r>
        <w:rPr>
          <w:color w:val="5A7D3A"/>
          <w:sz w:val="18"/>
        </w:rPr>
        <w:t>https://pubmed.ncbi.nlm.nih.gov/42723046/</w:t>
      </w:r>
    </w:p>
    <w:p>
      <w:pPr>
        <w:pStyle w:val="Heading1"/>
      </w:pPr>
      <w:r>
        <w:t>Aufgenommen am 12.09.2026</w:t>
      </w:r>
    </w:p>
    <w:p>
      <w:pPr>
        <w:pStyle w:val="Heading2"/>
      </w:pPr>
      <w:r>
        <w:t>Geografische Erreichbarkeit Primärversorgung Schweden</w:t>
      </w:r>
    </w:p>
    <w:p>
      <w:r>
        <w:rPr>
          <w:i/>
          <w:color w:val="666666"/>
          <w:sz w:val="18"/>
        </w:rPr>
        <w:t>Isaksson D et al.  ·  BMJ Open  ·  11.09.2026  ·  PMID 42727971</w:t>
      </w:r>
    </w:p>
    <w:p>
      <w:r>
        <w:t>Landesweite Querschnittsstudie zur Fahrtzeit-Erreichbarkeit von Hausarztpraxen in Schweden anhand von Routinedaten.</w:t>
      </w:r>
    </w:p>
    <w:p>
      <w:r>
        <w:rPr>
          <w:b/>
        </w:rPr>
        <w:t xml:space="preserve">Ergebnis: </w:t>
      </w:r>
      <w:r>
        <w:t>Mittlere Fahrtzeit zur nächsten Praxis: 5,6 Min (SD 6,3), Median 3,3 Min; 15,8% erreichen Praxis nicht in ≤10 Min; deutliche Urban-Rural-Disparität (15,1 Min vs 3,0 Min in Großstädten). Geographischer Zugang hoch im Mittel, aber substantielle Unterschiede bleiben.</w:t>
      </w:r>
    </w:p>
    <w:p>
      <w:r>
        <w:rPr>
          <w:b/>
          <w:sz w:val="19"/>
        </w:rPr>
        <w:t xml:space="preserve">Übertragbarkeit: </w:t>
      </w:r>
      <w:r>
        <w:rPr>
          <w:sz w:val="19"/>
        </w:rPr>
        <w:t>Schweden, steuerfinanziert; Prozessmessungen zur Zugänglichkeit auf deutsche Strukturen gut übertragbar.</w:t>
      </w:r>
    </w:p>
    <w:p>
      <w:r>
        <w:rPr>
          <w:color w:val="5A7D3A"/>
          <w:sz w:val="18"/>
        </w:rPr>
        <w:t>https://pubmed.ncbi.nlm.nih.gov/42727971/</w:t>
      </w:r>
    </w:p>
    <w:p>
      <w:pPr>
        <w:pStyle w:val="Heading2"/>
      </w:pPr>
      <w:r>
        <w:t>Psychische Belastung von Gesundheitsfachkräften durch COVID-19</w:t>
      </w:r>
    </w:p>
    <w:p>
      <w:r>
        <w:rPr>
          <w:i/>
          <w:color w:val="666666"/>
          <w:sz w:val="18"/>
        </w:rPr>
        <w:t>Alonso J et al.  ·  Span J Psychiatry Ment Health  ·  11.09.2026  ·  PMID 42727923</w:t>
      </w:r>
    </w:p>
    <w:p>
      <w:r>
        <w:t>Dreieinhalb-Jahres-Längsschnittstudie zu psychischen Auswirkungen von COVID-19 auf spanische Gesundheitsfachkräfte.</w:t>
      </w:r>
    </w:p>
    <w:p>
      <w:r>
        <w:rPr>
          <w:b/>
        </w:rPr>
        <w:t xml:space="preserve">Ergebnis: </w:t>
      </w:r>
      <w:r>
        <w:t>38,1% der negativ gescreenten und 45,8% der positiv gescreenten Veteranen berichteten unauffällige Disclosure bei Suizidales-Screening. Weniger genaue Angaben assoziiert mit niedrigerem Glauben, Suizid sei Ausweg (OR 0,46 bzw 0,40), und höherer Sorge vor Überreaktion (OR 2,36 bzw 3,73). Screening-Genauigkeit limitiert durch Offenbarungshemmungen.</w:t>
      </w:r>
    </w:p>
    <w:p>
      <w:r>
        <w:rPr>
          <w:b/>
          <w:sz w:val="19"/>
        </w:rPr>
        <w:t xml:space="preserve">Übertragbarkeit: </w:t>
      </w:r>
      <w:r>
        <w:rPr>
          <w:sz w:val="19"/>
        </w:rPr>
        <w:t>Spanische Gesundheitsfachkräfte; Health Services Research-Perspektive auf Implementierungsbarrieren auf deutsche Verhältnisse übertragbar.</w:t>
      </w:r>
    </w:p>
    <w:p>
      <w:r>
        <w:rPr>
          <w:color w:val="5A7D3A"/>
          <w:sz w:val="18"/>
        </w:rPr>
        <w:t>https://pubmed.ncbi.nlm.nih.gov/42727923/</w:t>
      </w:r>
    </w:p>
    <w:p>
      <w:pPr>
        <w:pStyle w:val="Heading2"/>
      </w:pPr>
      <w:r>
        <w:t>Technische Unterstützung für Leitlinien-Implementation in LMICs</w:t>
      </w:r>
    </w:p>
    <w:p>
      <w:r>
        <w:rPr>
          <w:i/>
          <w:color w:val="666666"/>
          <w:sz w:val="18"/>
        </w:rPr>
        <w:t>Fahim C et al.  ·  Health Res Policy Syst  ·  10.09.2026  ·  PMID 42723069</w:t>
      </w:r>
    </w:p>
    <w:p>
      <w:r>
        <w:t>Mixed-Methods-Evaluation eines Unterstützungszentrums zur Stärkung der Forschungskapazität für Health Systems Research und Implementierung in Ländern mit niedrigem und mittlerem Einkommen.</w:t>
      </w:r>
    </w:p>
    <w:p>
      <w:r>
        <w:rPr>
          <w:b/>
        </w:rPr>
        <w:t xml:space="preserve">Ergebnis: </w:t>
      </w:r>
      <w:r>
        <w:t>22 Teilnehmer aus 6 Ländern; 8 von 9 Forschungskapazitäts-Outcomes verbesserten sich signifikant; signifikante Unterschiede in der Fähigkeit zur Entwicklung evidenzgestützter Knowledge-Translation-Interventionen (Z=-2,93, p&lt;0,05). Hauptbarrieren: fragmentierte Dienstleistungen, mangelnde Daten/Ausrüstung; Enabler: Stakeholder-Partnerschaften, multi-sektorale Ansätze.</w:t>
      </w:r>
    </w:p>
    <w:p>
      <w:r>
        <w:rPr>
          <w:b/>
          <w:sz w:val="19"/>
        </w:rPr>
        <w:t xml:space="preserve">Übertragbarkeit: </w:t>
      </w:r>
      <w:r>
        <w:rPr>
          <w:sz w:val="19"/>
        </w:rPr>
        <w:t>Low- and Middle-Income Countries; Implementierungswissenschaft auf deutsche Kapazitätsentwicklung nicht direkt übertragbar.</w:t>
      </w:r>
    </w:p>
    <w:p>
      <w:r>
        <w:rPr>
          <w:color w:val="5A7D3A"/>
          <w:sz w:val="18"/>
        </w:rPr>
        <w:t>https://pubmed.ncbi.nlm.nih.gov/42723069/</w:t>
      </w:r>
    </w:p>
    <w:p>
      <w:pPr>
        <w:pStyle w:val="Heading2"/>
      </w:pPr>
      <w:r>
        <w:t>Conversational Agent für Magenkrebspatienten</w:t>
      </w:r>
    </w:p>
    <w:p>
      <w:r>
        <w:rPr>
          <w:i/>
          <w:color w:val="666666"/>
          <w:sz w:val="18"/>
        </w:rPr>
        <w:t>Kang Y et al.  ·  J Med Internet Res  ·  10.09.2026  ·  PMID 42721321</w:t>
      </w:r>
    </w:p>
    <w:p>
      <w:r>
        <w:t>Action-Research-Studie zur Entwicklung und Usability-Bewertung eines KI-gestützten Conversational Agents für Patientenschulung bei Magenkrebs.</w:t>
      </w:r>
    </w:p>
    <w:p>
      <w:r>
        <w:rPr>
          <w:b/>
        </w:rPr>
        <w:t xml:space="preserve">Ergebnis: </w:t>
      </w:r>
      <w:r>
        <w:t>44 Patienten, 13 Pflegekräfte, 3 Manager, 2 Chirurgen getestet; Accuracy über 3 Testzyklen: 67%, 71%, 82%; RAG-Knowledge-Hit-Rate: 86%, 98%, 100% (signifikante Verbesserung p&lt;0,01). Chatbot-Usability-Score: 91,9 (SD 3,6); Content-Relevanz: 3,75 (SD 0,9). Drei Themen nutzer-zentriert: Wahrgenommene Nützlichkeit, Ease of Use, Nutzungsabsicht.</w:t>
      </w:r>
    </w:p>
    <w:p>
      <w:r>
        <w:rPr>
          <w:b/>
          <w:sz w:val="19"/>
        </w:rPr>
        <w:t xml:space="preserve">Übertragbarkeit: </w:t>
      </w:r>
      <w:r>
        <w:rPr>
          <w:sz w:val="19"/>
        </w:rPr>
        <w:t>China, Krankenhaus-Setting; Technologie-Anwendung für Patientenbildung auf deutsche Systeme prinzipiell übertragbar, Validierung erforderlich.</w:t>
      </w:r>
    </w:p>
    <w:p>
      <w:r>
        <w:rPr>
          <w:color w:val="5A7D3A"/>
          <w:sz w:val="18"/>
        </w:rPr>
        <w:t>https://pubmed.ncbi.nlm.nih.gov/42721321/</w:t>
      </w:r>
    </w:p>
    <w:p>
      <w:pPr>
        <w:pStyle w:val="Heading2"/>
      </w:pPr>
      <w:r>
        <w:t>Lebensqualität bei Krebspatienten in der DR Kongo</w:t>
      </w:r>
    </w:p>
    <w:p>
      <w:r>
        <w:rPr>
          <w:i/>
          <w:color w:val="666666"/>
          <w:sz w:val="18"/>
        </w:rPr>
        <w:t>Pilz MJ et al.  ·  BMJ Open  ·  09.09.2026  ·  PMID 42716684</w:t>
      </w:r>
    </w:p>
    <w:p>
      <w:r>
        <w:t>Querschnitts-Mixed-Methods-Studie zur gesundheitsbezogenen Lebensqualität von Krebspatienten in Lubumbashi, Demokratische Republik Kongo.</w:t>
      </w:r>
    </w:p>
    <w:p>
      <w:r>
        <w:rPr>
          <w:b/>
        </w:rPr>
        <w:t xml:space="preserve">Ergebnis: </w:t>
      </w:r>
      <w:r>
        <w:t>103 Patienten untersucht; 94,1% berichten finanzielle Probleme, 80,4% soziale Isolation, 71,8% Besorgnis. Symptombelastung deutlich höher als in Spanien-Kontrollgruppe (OR 1,18–28,0 für Symptome); nach Adjustierung für Alter, Geschlecht, Komorbiditäten blieben signifikante Unterschiede für 10 von 16 Skalen (p&lt;0,05). Hohe Symptombelastung erfordert Unterstützungsmaßnahmen.</w:t>
      </w:r>
    </w:p>
    <w:p>
      <w:r>
        <w:rPr>
          <w:b/>
          <w:sz w:val="19"/>
        </w:rPr>
        <w:t xml:space="preserve">Übertragbarkeit: </w:t>
      </w:r>
      <w:r>
        <w:rPr>
          <w:sz w:val="19"/>
        </w:rPr>
        <w:t>DR Kongo, Low-Income Setting; Bedeutung für ressourcenlimitierte Systeme, eingeschränkte Übertragbarkeit auf deutsche Verhältnisse.</w:t>
      </w:r>
    </w:p>
    <w:p>
      <w:r>
        <w:rPr>
          <w:color w:val="5A7D3A"/>
          <w:sz w:val="18"/>
        </w:rPr>
        <w:t>https://pubmed.ncbi.nlm.nih.gov/42716684/</w:t>
      </w:r>
    </w:p>
    <w:p>
      <w:pPr>
        <w:pStyle w:val="Heading2"/>
      </w:pPr>
      <w:r>
        <w:t>Verbrauchergesteuerte Forschungspriorität in Australien</w:t>
      </w:r>
    </w:p>
    <w:p>
      <w:r>
        <w:rPr>
          <w:i/>
          <w:color w:val="666666"/>
          <w:sz w:val="18"/>
        </w:rPr>
        <w:t>Catapan SC et al.  ·  Rural Remote Health  ·  01.09.2026  ·  PMID 42716571</w:t>
      </w:r>
    </w:p>
    <w:p>
      <w:r>
        <w:t>Qualitative Studie mit World Café-Methode zur Bestimmung von Forschungsprioritäten für Gesundheit in ruralen australischen Gemeinden.</w:t>
      </w:r>
    </w:p>
    <w:p>
      <w:r>
        <w:rPr>
          <w:b/>
        </w:rPr>
        <w:t xml:space="preserve">Ergebnis: </w:t>
      </w:r>
      <w:r>
        <w:t>Fünf identifizierte Prioritäten: (1) Rekrutierung/Bindung von Hausärzten, (2) multidisziplinäre Versorgung, (3) Bewusstsein für lokale Dienste, (4) erweiterte Chroniker-Betreuung mit Remote-Monitoring, (5) Verbindung zu sozialen Determinanten (Wohnung, Finanzen). Konsens zwischen Verbrauchern und Forschern auf Bedarf für maßgeschneiderte, gemeindegesteuerte Interventionen.</w:t>
      </w:r>
    </w:p>
    <w:p>
      <w:r>
        <w:rPr>
          <w:b/>
          <w:sz w:val="19"/>
        </w:rPr>
        <w:t xml:space="preserve">Übertragbarkeit: </w:t>
      </w:r>
      <w:r>
        <w:rPr>
          <w:sz w:val="19"/>
        </w:rPr>
        <w:t>Australien, steuerfinanziert; Partizipativmethode zur Prioritätensetzung auf deutsche Versorgungsforschung teilweise übertragbar.</w:t>
      </w:r>
    </w:p>
    <w:p>
      <w:r>
        <w:rPr>
          <w:color w:val="5A7D3A"/>
          <w:sz w:val="18"/>
        </w:rPr>
        <w:t>https://pubmed.ncbi.nlm.nih.gov/42716571/</w:t>
      </w:r>
    </w:p>
    <w:p>
      <w:pPr>
        <w:pStyle w:val="Heading1"/>
      </w:pPr>
      <w:r>
        <w:t>Aufgenommen am 11.09.2026</w:t>
      </w:r>
    </w:p>
    <w:p>
      <w:pPr>
        <w:pStyle w:val="Heading2"/>
      </w:pPr>
      <w:r>
        <w:t>Mobile Single-Lead ECG-Screening für Vorhofflimmern in Routine-Settings</w:t>
      </w:r>
    </w:p>
    <w:p>
      <w:r>
        <w:rPr>
          <w:i/>
          <w:color w:val="666666"/>
          <w:sz w:val="18"/>
        </w:rPr>
        <w:t>Fenske R et al.  ·  JMIR Cardio  ·  10.09.2026  ·  PMID 42721301</w:t>
      </w:r>
    </w:p>
    <w:p>
      <w:r>
        <w:t>Deutsche Multizenterstudie zur Machbarkeit von mobiler Single-Lead-EKG-Detektion für Vorhofflimmern in Krankenhaus und Praxis.</w:t>
      </w:r>
    </w:p>
    <w:p>
      <w:r>
        <w:rPr>
          <w:b/>
        </w:rPr>
        <w:t xml:space="preserve">Ergebnis: </w:t>
      </w:r>
      <w:r>
        <w:t>Von 237 Patienten lieferte das Gerät Interpretation bei 95,3% (41/43) der Ambulanten und 85,6% (166/194) der Stationären. Neu vermutetes Vorhofflimmern fand sich bei 1,7% (4/237); technische Probleme bei 16,0% (38/237). Nur 6,3% (15/237) nutzten regelmäßig Telemedizin. Die Machbarkeit ist gegeben, aber systematische Bestätigungstests und höhere Telemedizin-Akzeptanz fehlen.</w:t>
      </w:r>
    </w:p>
    <w:p>
      <w:r>
        <w:rPr>
          <w:b/>
          <w:sz w:val="19"/>
        </w:rPr>
        <w:t xml:space="preserve">Übertragbarkeit: </w:t>
      </w:r>
      <w:r>
        <w:rPr>
          <w:sz w:val="19"/>
        </w:rPr>
        <w:t>Deutsche Multizenterstudie mit lokalem Versorgungskontext</w:t>
      </w:r>
    </w:p>
    <w:p>
      <w:r>
        <w:rPr>
          <w:color w:val="5A7D3A"/>
          <w:sz w:val="18"/>
        </w:rPr>
        <w:t>https://pubmed.ncbi.nlm.nih.gov/42721301/</w:t>
      </w:r>
    </w:p>
    <w:p>
      <w:pPr>
        <w:pStyle w:val="Heading2"/>
      </w:pPr>
      <w:r>
        <w:t>Trends bei Milchpumpen-Verschreibungen in Deutschland 2011-2024</w:t>
      </w:r>
    </w:p>
    <w:p>
      <w:r>
        <w:rPr>
          <w:i/>
          <w:color w:val="666666"/>
          <w:sz w:val="18"/>
        </w:rPr>
        <w:t>Fischer L et al.  ·  Breastfeed Med  ·  10.09.2026  ·  PMID 42720285</w:t>
      </w:r>
    </w:p>
    <w:p>
      <w:r>
        <w:t>Sekundäranalyse von Routinedaten der gesetzlichen Krankenversicherung zu Trends bei Verordnungen von Milchpumpen im ambulanten Sektor.</w:t>
      </w:r>
    </w:p>
    <w:p>
      <w:r>
        <w:rPr>
          <w:b/>
        </w:rPr>
        <w:t xml:space="preserve">Ergebnis: </w:t>
      </w:r>
      <w:r>
        <w:t>Elektrische Milchpumpen-Ansprüche stiegen von 235 auf 605 Ansprüche pro 1.000 Neugeborene (durchschnittliches jährliches Wachstum 8,2%). 2024 betrugen die Krankenkassen-Kosten für Leih-Pumpen €15,3 Millionen. Erhebliche regionale Schwankungen zwischen Bundesländern, aber überall Anstieg.</w:t>
      </w:r>
    </w:p>
    <w:p>
      <w:r>
        <w:rPr>
          <w:b/>
          <w:sz w:val="19"/>
        </w:rPr>
        <w:t xml:space="preserve">Übertragbarkeit: </w:t>
      </w:r>
      <w:r>
        <w:rPr>
          <w:sz w:val="19"/>
        </w:rPr>
        <w:t>Deutsche Routinedaten der gesetzlichen Krankenversicherung, vollständig übertragbar</w:t>
      </w:r>
    </w:p>
    <w:p>
      <w:r>
        <w:rPr>
          <w:color w:val="5A7D3A"/>
          <w:sz w:val="18"/>
        </w:rPr>
        <w:t>https://pubmed.ncbi.nlm.nih.gov/42720285/</w:t>
      </w:r>
    </w:p>
    <w:p>
      <w:pPr>
        <w:pStyle w:val="Heading2"/>
      </w:pPr>
      <w:r>
        <w:t>Medical Invalidation: Systematische Konzeptualisierung eines Versorgungsproblems</w:t>
      </w:r>
    </w:p>
    <w:p>
      <w:r>
        <w:rPr>
          <w:i/>
          <w:color w:val="666666"/>
          <w:sz w:val="18"/>
        </w:rPr>
        <w:t>Lerch SP et al.  ·  BMC Health Serv Res  ·  08.09.2026  ·  PMID 42717341</w:t>
      </w:r>
    </w:p>
    <w:p>
      <w:r>
        <w:t>Scoping Review zur konzeptuellen Klärung von Medical Invalidation, Ursachen, Konsequenzen und Lösungsansätze in der Gesundheitsversorgung.</w:t>
      </w:r>
    </w:p>
    <w:p>
      <w:r>
        <w:rPr>
          <w:b/>
        </w:rPr>
        <w:t xml:space="preserve">Ergebnis: </w:t>
      </w:r>
      <w:r>
        <w:t>158 Studien zeigen inkonsistente Definitionen von Invalidation und Gaslighting. Multifaktorielle Ursachen identifiziert: diagnostische Herausforderungen, strukturelle Faktoren, Stigma, Diagnostikskills-Defizite. Validierung hatte konsistent positive Effekte; Invalidation führte zu Verhaltens-, emotionalen, kognitiven und physischen Schäden. Lösungen: Kommunikationstraining, klinische Schulung, Patientenunterstützung, Forschung, systemische Änderungen.</w:t>
      </w:r>
    </w:p>
    <w:p>
      <w:r>
        <w:rPr>
          <w:b/>
          <w:sz w:val="19"/>
        </w:rPr>
        <w:t xml:space="preserve">Übertragbarkeit: </w:t>
      </w:r>
      <w:r>
        <w:rPr>
          <w:sz w:val="19"/>
        </w:rPr>
        <w:t>Universeller Problembereich, besonders relevant für deutsches Versorgungssystem</w:t>
      </w:r>
    </w:p>
    <w:p>
      <w:r>
        <w:rPr>
          <w:color w:val="5A7D3A"/>
          <w:sz w:val="18"/>
        </w:rPr>
        <w:t>https://pubmed.ncbi.nlm.nih.gov/42717341/</w:t>
      </w:r>
    </w:p>
    <w:p>
      <w:pPr>
        <w:pStyle w:val="Heading2"/>
      </w:pPr>
      <w:r>
        <w:t>Cardiolotse: Transitionales Care-Modell für kardiovaskuläre Patienten</w:t>
      </w:r>
    </w:p>
    <w:p>
      <w:r>
        <w:rPr>
          <w:i/>
          <w:color w:val="666666"/>
          <w:sz w:val="18"/>
        </w:rPr>
        <w:t>Kropp S et al.  ·  BMC Health Serv Res  ·  09.09.2026  ·  PMID 42717334</w:t>
      </w:r>
    </w:p>
    <w:p>
      <w:r>
        <w:t>Prozessevaluation eines Pflegefachpersonen-geführten Transitionscare-Modells in Deutschland zur Verbesserung der Versorgungskoordination nach Krankenhausentlassung.</w:t>
      </w:r>
    </w:p>
    <w:p>
      <w:r>
        <w:rPr>
          <w:b/>
        </w:rPr>
        <w:t xml:space="preserve">Ergebnis: </w:t>
      </w:r>
      <w:r>
        <w:t>Etwa 12.500 Kontakte wurden durchgeführt. Patienten berichteten hohe Zufriedenheit und vertrauten den Cardiolotsen. Jedoch konnten zufriedenheitsscore zwischen Interventions- und Kontrollgruppe hinsichtlich Behandlung nicht unterschieden werden. Nur 10% der niedergelassenen Ärzte erreichten regelmäßigen Kontakt – sektorübergreifende Kommunikation war die Haupthürde.</w:t>
      </w:r>
    </w:p>
    <w:p>
      <w:r>
        <w:rPr>
          <w:b/>
          <w:sz w:val="19"/>
        </w:rPr>
        <w:t xml:space="preserve">Übertragbarkeit: </w:t>
      </w:r>
      <w:r>
        <w:rPr>
          <w:sz w:val="19"/>
        </w:rPr>
        <w:t>Realistische deutsche Versorgungsforschung zu Care Coordination</w:t>
      </w:r>
    </w:p>
    <w:p>
      <w:r>
        <w:rPr>
          <w:color w:val="5A7D3A"/>
          <w:sz w:val="18"/>
        </w:rPr>
        <w:t>https://pubmed.ncbi.nlm.nih.gov/42717334/</w:t>
      </w:r>
    </w:p>
    <w:p>
      <w:pPr>
        <w:pStyle w:val="Heading2"/>
      </w:pPr>
      <w:r>
        <w:t>Patient-Reported Outcomes nach Revaskularisation bei Claudicatio intermittens</w:t>
      </w:r>
    </w:p>
    <w:p>
      <w:r>
        <w:rPr>
          <w:i/>
          <w:color w:val="666666"/>
          <w:sz w:val="18"/>
        </w:rPr>
        <w:t>Peters F et al.  ·  J Vasc Surg  ·  08.09.2026  ·  PMID 42710606</w:t>
      </w:r>
    </w:p>
    <w:p>
      <w:r>
        <w:t>Deutsche prospektive Multizenterstudie zu Patient-Reported Outcomes (PROMs) nach invasiver Revaskularisierung bei Claudicatio intermittens.</w:t>
      </w:r>
    </w:p>
    <w:p>
      <w:r>
        <w:rPr>
          <w:b/>
        </w:rPr>
        <w:t xml:space="preserve">Ergebnis: </w:t>
      </w:r>
      <w:r>
        <w:t>Von 963 Patienten (64% Männer, Median 68 Jahre) verbesserte sich der Physical Component Summary score (SF-12) von median 35 auf 45 (Bereich Q1-Q3: 28-43 auf 39-52). Maximale schmerzfreie Gehstrecke stieg um 20 Minuten, Beinschmerzen im Ruhezustand sank um 10 Punkte. Adipositas, Rentner-Status und Nicht-Erwerbstätigkeit waren mit kleineren Verbesserungen assoziiert.</w:t>
      </w:r>
    </w:p>
    <w:p>
      <w:r>
        <w:rPr>
          <w:b/>
          <w:sz w:val="19"/>
        </w:rPr>
        <w:t xml:space="preserve">Übertragbarkeit: </w:t>
      </w:r>
      <w:r>
        <w:rPr>
          <w:sz w:val="19"/>
        </w:rPr>
        <w:t>Deutsche Multizenterstudie, direkt auf deutsches Gesundheitssystem übertragbar</w:t>
      </w:r>
    </w:p>
    <w:p>
      <w:r>
        <w:rPr>
          <w:color w:val="5A7D3A"/>
          <w:sz w:val="18"/>
        </w:rPr>
        <w:t>https://pubmed.ncbi.nlm.nih.gov/42710606/</w:t>
      </w:r>
    </w:p>
    <w:p>
      <w:pPr>
        <w:pStyle w:val="Heading2"/>
      </w:pPr>
      <w:r>
        <w:t>Gute Praxis Sekundärdatenanalyse Version 4: Leitlinien und Empfehlungen</w:t>
      </w:r>
    </w:p>
    <w:p>
      <w:r>
        <w:rPr>
          <w:i/>
          <w:color w:val="666666"/>
          <w:sz w:val="18"/>
        </w:rPr>
        <w:t>Swart E et al.  ·  Gesundheitswesen  ·  07.09.2026  ·  PMID 42705329</w:t>
      </w:r>
    </w:p>
    <w:p>
      <w:r>
        <w:t>Aktualisierte Richtlinie für methodische Standards bei der Durchführung von Sekundärdatenanalysen in Deutschland mit neuen Empfehlungen.</w:t>
      </w:r>
    </w:p>
    <w:p>
      <w:r>
        <w:rPr>
          <w:b/>
        </w:rPr>
        <w:t xml:space="preserve">Ergebnis: </w:t>
      </w:r>
      <w:r>
        <w:t>Version 4 ergänzt frühere Versionen um Empfehlungen zu Studienpopulation, Auswertestrategie, Registrierung, Zusammenspiel von Datenanalyse und Patient:innenperspektive, Data Dictionaries, Zwischenauswertungen, verteiltem Rechnen, Dokumentation, gepoolten Daten, Rechtrahmen und Wissenschaftskommunikation. Standard für Sekundärdatenanalysen nach wissenschaftlichen Grundsätzen in Deutschland etabliert.</w:t>
      </w:r>
    </w:p>
    <w:p>
      <w:r>
        <w:rPr>
          <w:b/>
          <w:sz w:val="19"/>
        </w:rPr>
        <w:t xml:space="preserve">Übertragbarkeit: </w:t>
      </w:r>
      <w:r>
        <w:rPr>
          <w:sz w:val="19"/>
        </w:rPr>
        <w:t>Deutsche Fachmethodologie, grundlegend für deutsches Versorgungsforschungs-System</w:t>
      </w:r>
    </w:p>
    <w:p>
      <w:r>
        <w:rPr>
          <w:color w:val="5A7D3A"/>
          <w:sz w:val="18"/>
        </w:rPr>
        <w:t>https://pubmed.ncbi.nlm.nih.gov/42705329/</w:t>
      </w:r>
    </w:p>
    <w:p>
      <w:pPr>
        <w:pStyle w:val="Heading1"/>
      </w:pPr>
      <w:r>
        <w:t>Aufgenommen am 10.09.2026</w:t>
      </w:r>
    </w:p>
    <w:p>
      <w:pPr>
        <w:pStyle w:val="Heading2"/>
      </w:pPr>
      <w:r>
        <w:t>Sentiment analysis mit BERT-Modell für Patientenerfahrungen in der Primärversorgung</w:t>
      </w:r>
    </w:p>
    <w:p>
      <w:r>
        <w:rPr>
          <w:i/>
          <w:color w:val="666666"/>
          <w:sz w:val="18"/>
        </w:rPr>
        <w:t>Norman RM et al.  ·  Fam Pract  ·  31.07.2026  ·  PMID 42713859</w:t>
      </w:r>
    </w:p>
    <w:p>
      <w:r>
        <w:t>Fine-tuning eines Sprachmodells (NorBERT3) zur automatisierten Sentimentanalyse von Patientenerfahrungen in norwegischen Hausarztpraxen.</w:t>
      </w:r>
    </w:p>
    <w:p>
      <w:r>
        <w:rPr>
          <w:b/>
        </w:rPr>
        <w:t xml:space="preserve">Ergebnis: </w:t>
      </w:r>
      <w:r>
        <w:t>Das optimierte Modell erzielte hohe F1-Scores auf Testdaten (0,80 AUC für Online-Bewertungen), übertraf traditionelle Methoden und ein großes Sprachmodell. Konstruktvalidität wurde durch erwartete Korrelationen mit Patientenerfahrungsscores und bekannte Subgruppenunterschiede unterstützt.</w:t>
      </w:r>
    </w:p>
    <w:p>
      <w:r>
        <w:rPr>
          <w:b/>
          <w:sz w:val="19"/>
        </w:rPr>
        <w:t xml:space="preserve">Übertragbarkeit: </w:t>
      </w:r>
      <w:r>
        <w:rPr>
          <w:sz w:val="19"/>
        </w:rPr>
        <w:t>Norwegen, ähnliche Primärversorgungsstruktur wie Deutschland</w:t>
      </w:r>
    </w:p>
    <w:p>
      <w:r>
        <w:rPr>
          <w:color w:val="5A7D3A"/>
          <w:sz w:val="18"/>
        </w:rPr>
        <w:t>https://pubmed.ncbi.nlm.nih.gov/42713859/</w:t>
      </w:r>
    </w:p>
    <w:p>
      <w:pPr>
        <w:pStyle w:val="Heading2"/>
      </w:pPr>
      <w:r>
        <w:t>Unterstützungsmodell für sichere Medikamentennutzung bei Migranten mit Sprachbarrieren</w:t>
      </w:r>
    </w:p>
    <w:p>
      <w:r>
        <w:rPr>
          <w:i/>
          <w:color w:val="666666"/>
          <w:sz w:val="18"/>
        </w:rPr>
        <w:t>Hjelm K et al.  ·  BMC Health Serv Res  ·  07.09.2026  ·  PMID 42711692</w:t>
      </w:r>
    </w:p>
    <w:p>
      <w:r>
        <w:t>Co-creation Partizipative Aktionsforschung identifizierte Unterstützungsbedarfe für sichere Medikamentennutzung bei fremdgeborenen Personen mit Sprachschwierigkeiten in Schweden.</w:t>
      </w:r>
    </w:p>
    <w:p>
      <w:r>
        <w:rPr>
          <w:b/>
        </w:rPr>
        <w:t xml:space="preserve">Ergebnis: </w:t>
      </w:r>
      <w:r>
        <w:t>Sieben Handlungsfelder identifiziert: Routinen für sichere Medikamentennutzung, Kontinuität, Sprachenunterstützung, Ressourcen, Patienteneducation, Mitarbeiterschulung und nationale Maßnahmen. Kern: Koordiniertes interdisziplinäres Team in der Primärversorgung mit erreichbarer Kontaktperson.</w:t>
      </w:r>
    </w:p>
    <w:p>
      <w:r>
        <w:rPr>
          <w:b/>
          <w:sz w:val="19"/>
        </w:rPr>
        <w:t xml:space="preserve">Übertragbarkeit: </w:t>
      </w:r>
      <w:r>
        <w:rPr>
          <w:sz w:val="19"/>
        </w:rPr>
        <w:t>Schweden, vergleichbares Sozialversicherungssystem, Migrationskontexte zentral</w:t>
      </w:r>
    </w:p>
    <w:p>
      <w:r>
        <w:rPr>
          <w:color w:val="5A7D3A"/>
          <w:sz w:val="18"/>
        </w:rPr>
        <w:t>https://pubmed.ncbi.nlm.nih.gov/42711692/</w:t>
      </w:r>
    </w:p>
    <w:p>
      <w:pPr>
        <w:pStyle w:val="Heading2"/>
      </w:pPr>
      <w:r>
        <w:t>Dementenangebot und Ergebnisse in japanischen Akutkrankenhäusern nach Finanzierungsanreiz</w:t>
      </w:r>
    </w:p>
    <w:p>
      <w:r>
        <w:rPr>
          <w:i/>
          <w:color w:val="666666"/>
          <w:sz w:val="18"/>
        </w:rPr>
        <w:t>Wu J et al.  ·  Geriatr Gerontol Int  ·  Sept. 2026  ·  PMID 42711657</w:t>
      </w:r>
    </w:p>
    <w:p>
      <w:r>
        <w:t>Nationale Analyse der Patienten, die für Japans Dementatax-Anreiz (DCA) berechtigt sind, und deren klinische Versorgungsergebnisse 2016–2019.</w:t>
      </w:r>
    </w:p>
    <w:p>
      <w:r>
        <w:rPr>
          <w:b/>
        </w:rPr>
        <w:t xml:space="preserve">Ergebnis: </w:t>
      </w:r>
      <w:r>
        <w:t>1.046.652 Hospitalisierungen von Personen über 65 Jahren mit Dementia. DCA-Abrechnungen stiegen von 6,4% (DCA1) und 13,2% (DCA2) 2016 auf 20,8% und 32,8% 2019. Verweildauer sank von 33,7 auf 27,8 Tage, Krankenhaussterblichkeit von 13,9% auf 12,9%, unangemessene Medikation von 16,2% auf 14,0%.</w:t>
      </w:r>
    </w:p>
    <w:p>
      <w:r>
        <w:rPr>
          <w:b/>
          <w:sz w:val="19"/>
        </w:rPr>
        <w:t xml:space="preserve">Übertragbarkeit: </w:t>
      </w:r>
      <w:r>
        <w:rPr>
          <w:sz w:val="19"/>
        </w:rPr>
        <w:t>Japan, begrenzt übertragbar; Fragestellung zu Finanzierungseffekten in Gesundheitssystemen mit anderen Anreizstrukturen</w:t>
      </w:r>
    </w:p>
    <w:p>
      <w:r>
        <w:rPr>
          <w:color w:val="5A7D3A"/>
          <w:sz w:val="18"/>
        </w:rPr>
        <w:t>https://pubmed.ncbi.nlm.nih.gov/42711657/</w:t>
      </w:r>
    </w:p>
    <w:p>
      <w:pPr>
        <w:pStyle w:val="Heading2"/>
      </w:pPr>
      <w:r>
        <w:t>Auswirkungen von Fortbildung auf Personalfluktuation in US-Veteranenkliniken</w:t>
      </w:r>
    </w:p>
    <w:p>
      <w:r>
        <w:rPr>
          <w:i/>
          <w:color w:val="666666"/>
          <w:sz w:val="18"/>
        </w:rPr>
        <w:t>Sterling R et al.  ·  J Rural Health  ·  Juni 2026  ·  PMID 42708822</w:t>
      </w:r>
    </w:p>
    <w:p>
      <w:r>
        <w:t>Quasi-experimentelle Studie der Rural Interprofessional Faculty Development Initiative (RIFDI) auf Mitarbeiterkontinuität in VHA-Kliniken landesweit 2019–2024.</w:t>
      </w:r>
    </w:p>
    <w:p>
      <w:r>
        <w:rPr>
          <w:b/>
        </w:rPr>
        <w:t xml:space="preserve">Ergebnis: </w:t>
      </w:r>
      <w:r>
        <w:t>Fluktuationsrate &lt;1 Jahr nach RIFDI-Abschluss: 12,8% (geringe Engagements), &lt;1,0% (hohe Engagements), 11,3% (keine RIFDI). Hochengagierte Teilnehmer hatten 11-fach niedrigere Fluktuationsquoten (p&lt;0,001).</w:t>
      </w:r>
    </w:p>
    <w:p>
      <w:r>
        <w:rPr>
          <w:b/>
          <w:sz w:val="19"/>
        </w:rPr>
        <w:t xml:space="preserve">Übertragbarkeit: </w:t>
      </w:r>
      <w:r>
        <w:rPr>
          <w:sz w:val="19"/>
        </w:rPr>
        <w:t>USA-Veteranensystem; Fragestellung zu Personalentwicklung systemunabhängig</w:t>
      </w:r>
    </w:p>
    <w:p>
      <w:r>
        <w:rPr>
          <w:color w:val="5A7D3A"/>
          <w:sz w:val="18"/>
        </w:rPr>
        <w:t>https://pubmed.ncbi.nlm.nih.gov/42708822/</w:t>
      </w:r>
    </w:p>
    <w:p>
      <w:pPr>
        <w:pStyle w:val="Heading2"/>
      </w:pPr>
      <w:r>
        <w:t>Exposition gegenüber Passivrauchen und durch GBD 2023 verursachte Krankheitslast</w:t>
      </w:r>
    </w:p>
    <w:p>
      <w:r>
        <w:rPr>
          <w:i/>
          <w:color w:val="666666"/>
          <w:sz w:val="18"/>
        </w:rPr>
        <w:t>GBD 2023 Second-hand smoke Collaborators  ·  Lancet Public Health  ·  07.09.2026  ·  PMID 42705247</w:t>
      </w:r>
    </w:p>
    <w:p>
      <w:r>
        <w:t>Globale, regionale und nationale Prävalenz der Passivrauchwirkung und der zurechenbaren Krankheitslast in 204 Ländern 1990–2023, GBD 2023 Studie.</w:t>
      </w:r>
    </w:p>
    <w:p>
      <w:r>
        <w:rPr>
          <w:b/>
        </w:rPr>
        <w:t xml:space="preserve">Ergebnis: </w:t>
      </w:r>
      <w:r>
        <w:t>2,71 Mrd. Menschen 2023 exponiert (767 Mio. Kinder 0–14 Jahre); 22,2% Rückgang der altersstandartisierten Prävalenz seit 1990. Absolute Fallzahlen stabil global, aber +98,5% in Sub-Sahara-Afrika, +72,1% Nordafrika/Naher Osten. 1,66 Mio. Todesfälle, 44,8 Mio. DALYs; ischämische Herzerkrankung und pädiatrische Infektionen der Atemwege führend.</w:t>
      </w:r>
    </w:p>
    <w:p>
      <w:r>
        <w:rPr>
          <w:b/>
          <w:sz w:val="19"/>
        </w:rPr>
        <w:t xml:space="preserve">Übertragbarkeit: </w:t>
      </w:r>
      <w:r>
        <w:rPr>
          <w:sz w:val="19"/>
        </w:rPr>
        <w:t>Globale Daten; Public-Health-Fragestellung systemunabhängig relevant</w:t>
      </w:r>
    </w:p>
    <w:p>
      <w:r>
        <w:rPr>
          <w:color w:val="5A7D3A"/>
          <w:sz w:val="18"/>
        </w:rPr>
        <w:t>https://pubmed.ncbi.nlm.nih.gov/42705247/</w:t>
      </w:r>
    </w:p>
    <w:p>
      <w:pPr>
        <w:pStyle w:val="Heading1"/>
      </w:pPr>
      <w:r>
        <w:t>Aufgenommen am 09.09.2026</w:t>
      </w:r>
    </w:p>
    <w:p>
      <w:pPr>
        <w:pStyle w:val="Heading2"/>
      </w:pPr>
      <w:r>
        <w:t>Fahrplan für die organisationsweite Einführung evidenzbasierter Medizin</w:t>
      </w:r>
    </w:p>
    <w:p>
      <w:r>
        <w:rPr>
          <w:i/>
          <w:color w:val="666666"/>
          <w:sz w:val="18"/>
        </w:rPr>
        <w:t>van der Braak K et al.  ·  JBI Evid Implement  ·  09.09.2026  ·  PMID 42710024</w:t>
      </w:r>
    </w:p>
    <w:p>
      <w:r>
        <w:t>Systematischer Überblick über 100 Reviews (2013–2023) zur Implementierung evidenzbasierter Medizin, ausgewertet nach Outcome-Messung, Kontextanalyse und Implementierungsstrategien.</w:t>
      </w:r>
    </w:p>
    <w:p>
      <w:r>
        <w:rPr>
          <w:b/>
        </w:rPr>
        <w:t xml:space="preserve">Ergebnis: </w:t>
      </w:r>
      <w:r>
        <w:t>Vier durchgängig empfohlene Messinstrumente wurden identifiziert (EBPQ, EPIC, Fresno Test, HS-EBP); 50 Reviews behandelten die Outcome-Messung, 57 die Kontextanalyse mit 22 Themen und 40 die Implementierungsstrategien, davon 38 edukative. Edukative Strategien sind am besten untersucht; Veränderungen der Infrastruktur sowie Outcomes auf Organisations- und Patientenebene bleiben unterrepräsentiert.</w:t>
      </w:r>
    </w:p>
    <w:p>
      <w:r>
        <w:rPr>
          <w:b/>
          <w:sz w:val="19"/>
        </w:rPr>
        <w:t xml:space="preserve">Übertragbarkeit: </w:t>
      </w:r>
      <w:r>
        <w:rPr>
          <w:sz w:val="19"/>
        </w:rPr>
        <w:t>Niederlande, Cochrane-Netzwerk; Sozialversicherungssystem mit Implementierungswissenschaft.</w:t>
      </w:r>
    </w:p>
    <w:p>
      <w:r>
        <w:rPr>
          <w:color w:val="5A7D3A"/>
          <w:sz w:val="18"/>
        </w:rPr>
        <w:t>https://pubmed.ncbi.nlm.nih.gov/42710024/</w:t>
      </w:r>
    </w:p>
    <w:p>
      <w:pPr>
        <w:pStyle w:val="Heading2"/>
      </w:pPr>
      <w:r>
        <w:t>Umweltverträglichere Arzneiwirkstoffe: Sichtweisen von Fachleuten im Gesundheitswesen</w:t>
      </w:r>
    </w:p>
    <w:p>
      <w:r>
        <w:rPr>
          <w:i/>
          <w:color w:val="666666"/>
          <w:sz w:val="18"/>
        </w:rPr>
        <w:t>Puhlmann N et al.  ·  BMC Health Serv Res  ·  04.09.2026  ·  PMID 42706542</w:t>
      </w:r>
    </w:p>
    <w:p>
      <w:r>
        <w:t>Qualitative Interviewstudie mit 16 europäischen Fachleuten (Ärzte, Apotheker, Beschaffung, Erstattung, Zulassung) zu den Voraussetzungen für den Einsatz umweltverträglicherer Arzneiwirkstoffe.</w:t>
      </w:r>
    </w:p>
    <w:p>
      <w:r>
        <w:rPr>
          <w:b/>
        </w:rPr>
        <w:t xml:space="preserve">Ergebnis: </w:t>
      </w:r>
      <w:r>
        <w:t>Die Befragten benannten bereits bestehende Ansätze, etwa Umweltkriterien in Beschaffungsausschreibungen. Als Voraussetzungen gelten verlässliche Daten zur Umweltwirkung, ein harmonisierter rechtlicher Bewertungsrahmen und eine zentrale Entscheidungsinstanz für Umwelteigenschaften. Wichtigster Ansatzpunkt ist aus Sicht der Befragten das Zulassungsverfahren; das fachliche Interesse an Umweltdaten könne Hersteller zur Offenlegung und zu umweltverträglicherem Wirkstoffdesign bewegen.</w:t>
      </w:r>
    </w:p>
    <w:p>
      <w:r>
        <w:rPr>
          <w:b/>
          <w:sz w:val="19"/>
        </w:rPr>
        <w:t xml:space="preserve">Übertragbarkeit: </w:t>
      </w:r>
      <w:r>
        <w:rPr>
          <w:sz w:val="19"/>
        </w:rPr>
        <w:t>Europäische Perspektiven; Regulierung und Beschaffung relevant für deutsches System.</w:t>
      </w:r>
    </w:p>
    <w:p>
      <w:r>
        <w:rPr>
          <w:color w:val="5A7D3A"/>
          <w:sz w:val="18"/>
        </w:rPr>
        <w:t>https://pubmed.ncbi.nlm.nih.gov/42706542/</w:t>
      </w:r>
    </w:p>
    <w:p>
      <w:pPr>
        <w:pStyle w:val="Heading2"/>
      </w:pPr>
      <w:r>
        <w:t>System Support Mapping: Implementierungsfaktoren auf neonatologischen Intensivstationen erfassen</w:t>
      </w:r>
    </w:p>
    <w:p>
      <w:r>
        <w:rPr>
          <w:i/>
          <w:color w:val="666666"/>
          <w:sz w:val="18"/>
        </w:rPr>
        <w:t>Dymek NG et al.  ·  BMC Health Serv Res  ·  05.09.2026  ·  PMID 42706532</w:t>
      </w:r>
    </w:p>
    <w:p>
      <w:r>
        <w:t>Methodische Darstellung des System Support Mapping in Verbindung mit einem Matrixed Multiple Case Study-Ansatz zur Erhebung von Implementierungsfaktoren in einer Studie zur Stillförderung an fünf deutschen neonatologischen Intensivstationen.</w:t>
      </w:r>
    </w:p>
    <w:p>
      <w:r>
        <w:rPr>
          <w:b/>
        </w:rPr>
        <w:t xml:space="preserve">Ergebnis: </w:t>
      </w:r>
      <w:r>
        <w:t>Vorgestellt wird ein Vorgehen in sechs Schritten: je Station eine eigene System Support Map (Schritte 1–3), danach eine stationsübergreifende Matrix zum Vergleich (Schritte 4–6). Innerhalb der Standorte zeigte sich, dass dieselbe Ressource je nach Kontext als förderlich, hinderlich oder beides wahrgenommen wurde; im Vergleich der Standorte traten gleichförmige wie heterogene Muster hervor. Damit lassen sich standortspezifische und übergreifende Strategien voneinander unterscheiden.</w:t>
      </w:r>
    </w:p>
    <w:p>
      <w:r>
        <w:rPr>
          <w:b/>
          <w:sz w:val="19"/>
        </w:rPr>
        <w:t xml:space="preserve">Übertragbarkeit: </w:t>
      </w:r>
      <w:r>
        <w:rPr>
          <w:sz w:val="19"/>
        </w:rPr>
        <w:t>Deutsche NICUs; Implementierungswissenschaft für deutsche Kontexte.</w:t>
      </w:r>
    </w:p>
    <w:p>
      <w:r>
        <w:rPr>
          <w:color w:val="5A7D3A"/>
          <w:sz w:val="18"/>
        </w:rPr>
        <w:t>https://pubmed.ncbi.nlm.nih.gov/42706532/</w:t>
      </w:r>
    </w:p>
    <w:p>
      <w:pPr>
        <w:pStyle w:val="Heading2"/>
      </w:pPr>
      <w:r>
        <w:t>Primary Care Behavioral Health in der schwedischen Primärversorgung: Ergebnisse einer Pilotstudie</w:t>
      </w:r>
    </w:p>
    <w:p>
      <w:r>
        <w:rPr>
          <w:i/>
          <w:color w:val="666666"/>
          <w:sz w:val="18"/>
        </w:rPr>
        <w:t>Nordgren LB et al.  ·  BMC Health Serv Res  ·  03.09.2026  ·  PMID 42706525</w:t>
      </w:r>
    </w:p>
    <w:p>
      <w:r>
        <w:t>Stepped-Wedge-Studie zur Einführung des Primary Care Behavioral Health-Modells in vier schwedischen Primärversorgungszentren mit 37.100 eingeschriebenen Patienten über drei Zeiträume.</w:t>
      </w:r>
    </w:p>
    <w:p>
      <w:r>
        <w:rPr>
          <w:b/>
        </w:rPr>
        <w:t xml:space="preserve">Ergebnis: </w:t>
      </w:r>
      <w:r>
        <w:t>Nach der Einführung sank die Wartezeit auf den Ersttermin um 30–39 % (von 16 auf 10 bis 11 Tage, p&lt;0,001), die Wartezeit auf alle Termine um 21–24 % (von 18 auf 13,7 bis 14,2 Tage, p&lt;0,001). Die Zahl der Termine bei Behavioral Health Consultants stieg um 21–34 % (von 1.762 auf 2.127 bis 2.359, p&lt;0,001), die Zahl der Psychopharmaka-Verordnungen sank um 14–18 % (von 8.025 auf 6.570 bis 6.927, p&lt;0,001). Nach Abschluss der Einführungsphase gingen die Verbesserungen teilweise zurück.</w:t>
      </w:r>
    </w:p>
    <w:p>
      <w:r>
        <w:rPr>
          <w:b/>
          <w:sz w:val="19"/>
        </w:rPr>
        <w:t xml:space="preserve">Übertragbarkeit: </w:t>
      </w:r>
      <w:r>
        <w:rPr>
          <w:sz w:val="19"/>
        </w:rPr>
        <w:t>Schweden, Primärversorgung; hausarztgesteuertes System, aber prozessuale Lernpunkte übertragbar.</w:t>
      </w:r>
    </w:p>
    <w:p>
      <w:r>
        <w:rPr>
          <w:color w:val="5A7D3A"/>
          <w:sz w:val="18"/>
        </w:rPr>
        <w:t>https://pubmed.ncbi.nlm.nih.gov/42706525/</w:t>
      </w:r>
    </w:p>
    <w:p>
      <w:pPr>
        <w:pStyle w:val="Heading2"/>
      </w:pPr>
      <w:r>
        <w:t>Leitliniengerechte Aphasietherapie: Systembarrieren im deutschsprachigen Raum</w:t>
      </w:r>
    </w:p>
    <w:p>
      <w:r>
        <w:rPr>
          <w:i/>
          <w:color w:val="666666"/>
          <w:sz w:val="18"/>
        </w:rPr>
        <w:t>May S et al.  ·  BMC Health Serv Res  ·  07.09.2026  ·  PMID 42706524</w:t>
      </w:r>
    </w:p>
    <w:p>
      <w:r>
        <w:t>Explorative qualitative Studie mit zwei Online-Fokusgruppen aus Menschen mit Aphasie, Angehörigen, Logopäden und Akteuren des Gesundheitswesens zu den Hürden einer leitliniengerechten Therapie im deutschsprachigen Raum.</w:t>
      </w:r>
    </w:p>
    <w:p>
      <w:r>
        <w:rPr>
          <w:b/>
        </w:rPr>
        <w:t xml:space="preserve">Ergebnis: </w:t>
      </w:r>
      <w:r>
        <w:t>Sechs Kategorien von Barrieren wurden benannt: gesellschaftliche und systemische Rahmenbedingungen, Zugang zur Versorgung, Brüche im Behandlungsverlauf, die Rolle der Angehörigen, psychosoziale Faktoren und Lücken in der interdisziplinären Versorgung. Als besonders anfällig gilt der Übergang von der stationären in die ambulante Versorgung; zerklüftete Versorgungspfade und finanzielle Hürden erschwerten die Umsetzung, und die informelle Unterstützung durch Angehörige schuf Ungleichheiten beim Zugang.</w:t>
      </w:r>
    </w:p>
    <w:p>
      <w:r>
        <w:rPr>
          <w:b/>
          <w:sz w:val="19"/>
        </w:rPr>
        <w:t xml:space="preserve">Übertragbarkeit: </w:t>
      </w:r>
      <w:r>
        <w:rPr>
          <w:sz w:val="19"/>
        </w:rPr>
        <w:t>Deutschland/Österreich/Schweiz, direkt; fokussiert auf Versorgungslücken und Systembarrieren.</w:t>
      </w:r>
    </w:p>
    <w:p>
      <w:r>
        <w:rPr>
          <w:color w:val="5A7D3A"/>
          <w:sz w:val="18"/>
        </w:rPr>
        <w:t>https://pubmed.ncbi.nlm.nih.gov/42706524/</w:t>
      </w:r>
    </w:p>
    <w:p>
      <w:pPr>
        <w:pStyle w:val="Heading2"/>
      </w:pPr>
      <w:r>
        <w:t>Patientenzufriedenheit in der Tele-Ophthalmologie: systematisches Review mit Metaanalyse</w:t>
      </w:r>
    </w:p>
    <w:p>
      <w:r>
        <w:rPr>
          <w:i/>
          <w:color w:val="666666"/>
          <w:sz w:val="18"/>
        </w:rPr>
        <w:t>Al-Nosairy KO et al.  ·  Eye (Lond)  ·  07.09.2026  ·  PMID 42706426</w:t>
      </w:r>
    </w:p>
    <w:p>
      <w:r>
        <w:t>Systematisches Review mit Metaanalyse aus 41 Studien (24.595 Teilnehmende) zum Vergleich der Patientenzufriedenheit zwischen tele-ophthalmologischer und persönlicher augenärztlicher Versorgung.</w:t>
      </w:r>
    </w:p>
    <w:p>
      <w:r>
        <w:rPr>
          <w:b/>
        </w:rPr>
        <w:t xml:space="preserve">Ergebnis: </w:t>
      </w:r>
      <w:r>
        <w:t>Die Zufriedenheit war vergleichbar (OR 0,98; 95%-KI 0,36–2,65, p=0,95). Gepoolt lag die Zufriedenheit mit der Telemedizin bei 93,5 % (95%-KI 90,8–95,5), die allgemeine Akzeptanz bei 92,0 %. Asynchrone (94,6 %), synchrone (92,1 %) und hybride Modelle (93,8 %) unterschieden sich kaum. Die Weiterempfehlung fiel höher aus (94,9 %) als die Absicht zur erneuten Nutzung (84,0 %); ein Publikationsbias war nicht nachweisbar (p&gt;0,05).</w:t>
      </w:r>
    </w:p>
    <w:p>
      <w:r>
        <w:rPr>
          <w:b/>
          <w:sz w:val="19"/>
        </w:rPr>
        <w:t xml:space="preserve">Übertragbarkeit: </w:t>
      </w:r>
      <w:r>
        <w:rPr>
          <w:sz w:val="19"/>
        </w:rPr>
        <w:t>Querschnittsübertragbar: Patientenzufriedenheit systemunabhängig.</w:t>
      </w:r>
    </w:p>
    <w:p>
      <w:r>
        <w:rPr>
          <w:color w:val="5A7D3A"/>
          <w:sz w:val="18"/>
        </w:rPr>
        <w:t>https://pubmed.ncbi.nlm.nih.gov/42706426/</w:t>
      </w:r>
    </w:p>
    <w:p>
      <w:pPr>
        <w:pStyle w:val="Heading2"/>
      </w:pPr>
      <w:r>
        <w:t>Hausarztkontakte und Prävention chronischer Erkrankungen in Chinas Gesundheitsreform</w:t>
      </w:r>
    </w:p>
    <w:p>
      <w:r>
        <w:rPr>
          <w:i/>
          <w:color w:val="666666"/>
          <w:sz w:val="18"/>
        </w:rPr>
        <w:t>Zhang Y et al.  ·  Soc Sci Med  ·  12.08.2026  ·  PMID 42704983</w:t>
      </w:r>
    </w:p>
    <w:p>
      <w:r>
        <w:t>Panelstudie mit 11.425 Personen aus vier Erhebungswellen (2011–2018) der China Health and Retirement Longitudinal Study zum Zusammenhang zwischen Hausarztkontakten, dem Neuauftreten chronischer Erkrankungen und der Krankenhausnutzung.</w:t>
      </w:r>
    </w:p>
    <w:p>
      <w:r>
        <w:rPr>
          <w:b/>
        </w:rPr>
        <w:t xml:space="preserve">Ergebnis: </w:t>
      </w:r>
      <w:r>
        <w:t>Jeder zusätzliche Hausarztkontakt ging mit weniger neu hinzukommenden chronischen Erkrankungen einher (−0,011; 95%-KI −0,017 bis −0,004). Stärker war der Zusammenhang bei Stadtbewohnern (−0,016), bei Personen mit Grundschulbildung (−0,014) und bei nur einer chronischen Erkrankung (−0,018). Bei bereits Erkrankten bestand kein signifikanter Zusammenhang mit ambulanten Krankenhauskontakten (−0,010; 95%-KI −0,029 bis 0,009) oder stationären Aufnahmen (0,010; 95%-KI −0,020 bis 0,040).</w:t>
      </w:r>
    </w:p>
    <w:p>
      <w:r>
        <w:rPr>
          <w:b/>
          <w:sz w:val="19"/>
        </w:rPr>
        <w:t xml:space="preserve">Übertragbarkeit: </w:t>
      </w:r>
      <w:r>
        <w:rPr>
          <w:sz w:val="19"/>
        </w:rPr>
        <w:t>China; Konzepte zu Primärversorgung und Prävention aber strukturelle Unterschiede erheblich.</w:t>
      </w:r>
    </w:p>
    <w:p>
      <w:r>
        <w:rPr>
          <w:color w:val="5A7D3A"/>
          <w:sz w:val="18"/>
        </w:rPr>
        <w:t>https://pubmed.ncbi.nlm.nih.gov/42704983/</w:t>
      </w:r>
    </w:p>
    <w:p>
      <w:pPr>
        <w:pStyle w:val="Heading1"/>
      </w:pPr>
      <w:r>
        <w:t>Aufgenommen am 08.09.2026</w:t>
      </w:r>
    </w:p>
    <w:p>
      <w:pPr>
        <w:pStyle w:val="Heading2"/>
      </w:pPr>
      <w:r>
        <w:t>Patientensicht auf Zahnbehandlungsqualität: qualitative Systematik-Übersicht</w:t>
      </w:r>
    </w:p>
    <w:p>
      <w:r>
        <w:rPr>
          <w:i/>
          <w:color w:val="666666"/>
          <w:sz w:val="18"/>
        </w:rPr>
        <w:t>Tay AHC et al.  ·  J Dent Res  ·  07.09.2026  ·  PMID 42703647</w:t>
      </w:r>
    </w:p>
    <w:p>
      <w:r>
        <w:t>Systematische qualitative Analyse von 36 Studien zur Patientenwahrnehmung von Qualität in der Zahnversorgung.</w:t>
      </w:r>
    </w:p>
    <w:p>
      <w:r>
        <w:rPr>
          <w:b/>
        </w:rPr>
        <w:t xml:space="preserve">Ergebnis: </w:t>
      </w:r>
      <w:r>
        <w:t>Vier Kernthemen: (1) strukturelle Bedingungen für Vertrauen, (2) Sicherheit durch erlebte Kompetenz, (3) zwischenmenschliche Pflege als Qualitätsfundament (Respekt, Empathie, Kommunikation, Shared Decision Making), (4) kontinuierliche Beziehung als patientenrelevantes Ergebnis. Patienten deuten relationale und emotionale Aspekte als Indikatoren der Systemorientierung.</w:t>
      </w:r>
    </w:p>
    <w:p>
      <w:r>
        <w:rPr>
          <w:b/>
          <w:sz w:val="19"/>
        </w:rPr>
        <w:t xml:space="preserve">Übertragbarkeit: </w:t>
      </w:r>
      <w:r>
        <w:rPr>
          <w:sz w:val="19"/>
        </w:rPr>
        <w:t>Diverse Populationen international, Thematik der Patientenzentralität systemunabhängig übertragbar.</w:t>
      </w:r>
    </w:p>
    <w:p>
      <w:r>
        <w:rPr>
          <w:color w:val="5A7D3A"/>
          <w:sz w:val="18"/>
        </w:rPr>
        <w:t>https://pubmed.ncbi.nlm.nih.gov/42703647/</w:t>
      </w:r>
    </w:p>
    <w:p>
      <w:pPr>
        <w:pStyle w:val="Heading2"/>
      </w:pPr>
      <w:r>
        <w:t>Regionale Disparitäten bei Lebendnierenverpflanzungen in Australien und Neuseeland</w:t>
      </w:r>
    </w:p>
    <w:p>
      <w:r>
        <w:rPr>
          <w:i/>
          <w:color w:val="666666"/>
          <w:sz w:val="18"/>
        </w:rPr>
        <w:t>McMichael LC et al.  ·  Am J Transplant  ·  03.09.2026  ·  PMID 42692200</w:t>
      </w:r>
    </w:p>
    <w:p>
      <w:r>
        <w:t>Analyse der ANZORGG-Registry (Australien, Neuseeland) zu regionalen Unterschieden bei Zugang zu Lebendnierenverpflanzung.</w:t>
      </w:r>
    </w:p>
    <w:p>
      <w:r>
        <w:rPr>
          <w:b/>
        </w:rPr>
        <w:t xml:space="preserve">Ergebnis: </w:t>
      </w:r>
      <w:r>
        <w:t>Standardisierte Quote lebender Nierenverpflanzungen variierte zwischen 0,36 und 2,11 über 21 Netzwerke (n=53.313 Patienten 2002–2022). Von 21 Netzwerken lagen 4 (19%) unter Erwartung. Faktoren: direkte Transplantationsaffiliation des Behandlungszentrums, nicht-metropolitane Residenz und zeitnahe nephrologische Vorstellung assoziiert mit erhöhtem Lebendspender-Transplantationsrisiko.</w:t>
      </w:r>
    </w:p>
    <w:p>
      <w:r>
        <w:rPr>
          <w:b/>
          <w:sz w:val="19"/>
        </w:rPr>
        <w:t xml:space="preserve">Übertragbarkeit: </w:t>
      </w:r>
      <w:r>
        <w:rPr>
          <w:sz w:val="19"/>
        </w:rPr>
        <w:t>Australien/Neuseeland, Fragestellung zu regionalen Versorgungsungleichheiten in spezialisierten Leistungen übertragbar auf Deutschland.</w:t>
      </w:r>
    </w:p>
    <w:p>
      <w:r>
        <w:rPr>
          <w:color w:val="5A7D3A"/>
          <w:sz w:val="18"/>
        </w:rPr>
        <w:t>https://pubmed.ncbi.nlm.nih.gov/42692200/</w:t>
      </w:r>
    </w:p>
    <w:p>
      <w:pPr>
        <w:pStyle w:val="Heading2"/>
      </w:pPr>
      <w:r>
        <w:t>Private Krankenversicherung und Prävention in Australien: Längsschnittstudie</w:t>
      </w:r>
    </w:p>
    <w:p>
      <w:r>
        <w:rPr>
          <w:i/>
          <w:color w:val="666666"/>
          <w:sz w:val="18"/>
        </w:rPr>
        <w:t>Nguyen CM et al.  ·  Public Health  ·  03.09.2026  ·  PMID 42691737</w:t>
      </w:r>
    </w:p>
    <w:p>
      <w:r>
        <w:t>Längsschnittstudie an 9.674 australischen Erwachsenen (2009–2017) zur Assoziation zwischen privater Krankenversicherung und Nutzung von Präventivleistungen.</w:t>
      </w:r>
    </w:p>
    <w:p>
      <w:r>
        <w:rPr>
          <w:b/>
        </w:rPr>
        <w:t xml:space="preserve">Ergebnis: </w:t>
      </w:r>
      <w:r>
        <w:t>Chronische Erkrankungen wurden häufiger, Prävention nahm zu. Nach Adjustment zeigte sich: Bei Frauen waren hospital PHI und kombinierte PHI mit IRR 1,14 (95%-KI 1,09–1,18) bzw. 1,18 (1,11–1,25) assoziiert; bei Männern hospital PHI mit IRR 1,12 (1,00–1,23) und kombinierte PHI mit IRR 1,18 (1,11–1,25).</w:t>
      </w:r>
    </w:p>
    <w:p>
      <w:r>
        <w:rPr>
          <w:b/>
          <w:sz w:val="19"/>
        </w:rPr>
        <w:t xml:space="preserve">Übertragbarkeit: </w:t>
      </w:r>
      <w:r>
        <w:rPr>
          <w:sz w:val="19"/>
        </w:rPr>
        <w:t>Australisches Zwei-Klassen-System mit Medicare-Basisversorgung und zusätzlicher privater Versicherung; Frage zu Versicherungsstatus und Prävention eingeschränkt übertragbar.</w:t>
      </w:r>
    </w:p>
    <w:p>
      <w:r>
        <w:rPr>
          <w:color w:val="5A7D3A"/>
          <w:sz w:val="18"/>
        </w:rPr>
        <w:t>https://pubmed.ncbi.nlm.nih.gov/42691737/</w:t>
      </w:r>
    </w:p>
    <w:p>
      <w:pPr>
        <w:pStyle w:val="Heading2"/>
      </w:pPr>
      <w:r>
        <w:t>Screening auf Autoimmunität bei Typ-1-Diabetes aus Sicht des Fachpersonals</w:t>
      </w:r>
    </w:p>
    <w:p>
      <w:r>
        <w:rPr>
          <w:i/>
          <w:color w:val="666666"/>
          <w:sz w:val="18"/>
        </w:rPr>
        <w:t>Majstorovic M et al.  ·  Diabet Med  ·  01.09.2026  ·  PMID 42682016</w:t>
      </w:r>
    </w:p>
    <w:p>
      <w:r>
        <w:t>Qualitative Studie mit 32 australischen Fachkräften (Kindermedizin) zu Perspektiven auf Screening und Monitoring von Inselzellautoantkörpern.</w:t>
      </w:r>
    </w:p>
    <w:p>
      <w:r>
        <w:rPr>
          <w:b/>
        </w:rPr>
        <w:t xml:space="preserve">Ergebnis: </w:t>
      </w:r>
      <w:r>
        <w:t>Sieben Themen identifiziert: (1) umstrittenes Screening, (2) Strukturüberlegungen, (3) Zugangsparität, (4) Managementfokus auf Testerleben, (5) potenzielle psychische Folgen, (6) Bewältigungsfähigkeit der Betreuer, (7) Bedeutung vertrauensvoller Beziehungen. Fachkräfte betonten psychische Belastungen für Familien, Wichtigkeit therapeutischer Beziehungen.</w:t>
      </w:r>
    </w:p>
    <w:p>
      <w:r>
        <w:rPr>
          <w:b/>
          <w:sz w:val="19"/>
        </w:rPr>
        <w:t xml:space="preserve">Übertragbarkeit: </w:t>
      </w:r>
      <w:r>
        <w:rPr>
          <w:sz w:val="19"/>
        </w:rPr>
        <w:t>Qualitative Fachperspektive, Thema Screening-Akzeptanz und -Design systemunabhängig relevant.</w:t>
      </w:r>
    </w:p>
    <w:p>
      <w:r>
        <w:rPr>
          <w:color w:val="5A7D3A"/>
          <w:sz w:val="18"/>
        </w:rPr>
        <w:t>https://pubmed.ncbi.nlm.nih.gov/42682016/</w:t>
      </w:r>
    </w:p>
    <w:p>
      <w:pPr>
        <w:pStyle w:val="Heading2"/>
      </w:pPr>
      <w:r>
        <w:t>Verfügbarkeit und Zugang zu Infertilitätsversorgung in West- und Zentralafrika</w:t>
      </w:r>
    </w:p>
    <w:p>
      <w:r>
        <w:rPr>
          <w:i/>
          <w:color w:val="666666"/>
          <w:sz w:val="18"/>
        </w:rPr>
        <w:t>Thomas HL et al.  ·  BMC Health Serv Res  ·  04.08.2026  ·  PMID 42681645</w:t>
      </w:r>
    </w:p>
    <w:p>
      <w:r>
        <w:t>Länderübergreifende Studie (Burkina Faso, Elfenbeinküste, Niger, Uganda) zu Verfügbarkeit, geografischem Zugang und Nutzung von STI-Tests und Infertilitätsservices.</w:t>
      </w:r>
    </w:p>
    <w:p>
      <w:r>
        <w:rPr>
          <w:b/>
        </w:rPr>
        <w:t xml:space="preserve">Ergebnis: </w:t>
      </w:r>
      <w:r>
        <w:t>STI-Tests verfügbar in 68,5–92,6% der Einrichtungen, Infertilitätsservices in 28,4–44,0% (Burkina Faso 78,3%). Frauen mit höherer Bildung, Wohlstand, urbaner Residenz hatten besseren Zugang. In Burkina Faso und Niger: Frauen innerhalb 5 km STI-Testung zeigten erhöhte biomedizinische Inanspruchnahme (aOR 2,94 bzw. 7,19).</w:t>
      </w:r>
    </w:p>
    <w:p>
      <w:r>
        <w:rPr>
          <w:b/>
          <w:sz w:val="19"/>
        </w:rPr>
        <w:t xml:space="preserve">Übertragbarkeit: </w:t>
      </w:r>
      <w:r>
        <w:rPr>
          <w:sz w:val="19"/>
        </w:rPr>
        <w:t>Subsaharische Länder mit begrenzten Ressourcen, Fragestellung zu geografischem Zugang und Inanspruchnahme grundsätzlich relevant.</w:t>
      </w:r>
    </w:p>
    <w:p>
      <w:r>
        <w:rPr>
          <w:color w:val="5A7D3A"/>
          <w:sz w:val="18"/>
        </w:rPr>
        <w:t>https://pubmed.ncbi.nlm.nih.gov/42681645/</w:t>
      </w:r>
    </w:p>
    <w:p>
      <w:pPr>
        <w:pStyle w:val="Heading2"/>
      </w:pPr>
      <w:r>
        <w:t>Nationale Implementierung eines TB-Probenversandsystems in der Republik Kongo</w:t>
      </w:r>
    </w:p>
    <w:p>
      <w:r>
        <w:rPr>
          <w:i/>
          <w:color w:val="666666"/>
          <w:sz w:val="18"/>
        </w:rPr>
        <w:t>Elion Assiana DO et al.  ·  Trop Med Infect Dis  ·  17.08.2026  ·  PMID 42646806</w:t>
      </w:r>
    </w:p>
    <w:p>
      <w:r>
        <w:t>Dreijährige Mixed-Methods-Studie (Pilot Januar–Juni 2023, Scale-up Juli 2023–Dezember 2025) zur Umsetzung eines strukturierten Versandsystems für TB-Diagnostik.</w:t>
      </w:r>
    </w:p>
    <w:p>
      <w:r>
        <w:rPr>
          <w:b/>
        </w:rPr>
        <w:t xml:space="preserve">Ergebnis: </w:t>
      </w:r>
      <w:r>
        <w:t>Pilot-Phase: 962 Proben, 30,6% TB-Fälle (12/294 RR-TB), medianer Turnaround 53 h urban/62 h rural, 86% Beteiligungsquote. Scale-up (29 → 12/12 Departements): 2154 Proben (2023) → 5160 (2024), 2587 TB- und 84 RR-TB-Fälle über 3 Jahre detektiert. TB-Detektionsbeitrag stieg von 9,2% auf 16,0%, RR-TB von 10,4% auf 18,7%.</w:t>
      </w:r>
    </w:p>
    <w:p>
      <w:r>
        <w:rPr>
          <w:b/>
          <w:sz w:val="19"/>
        </w:rPr>
        <w:t xml:space="preserve">Übertragbarkeit: </w:t>
      </w:r>
      <w:r>
        <w:rPr>
          <w:sz w:val="19"/>
        </w:rPr>
        <w:t>Ressourcenlimitiertes Subsahara-Kontext, Versorgungsforschung zur Stärkung von Diagnostikzugang relevant, aber nur bedingt auf deutsche Strukturen übertragbar.</w:t>
      </w:r>
    </w:p>
    <w:p>
      <w:r>
        <w:rPr>
          <w:color w:val="5A7D3A"/>
          <w:sz w:val="18"/>
        </w:rPr>
        <w:t>https://pubmed.ncbi.nlm.nih.gov/42646806/</w:t>
      </w:r>
    </w:p>
    <w:p>
      <w:pPr>
        <w:pStyle w:val="Heading1"/>
      </w:pPr>
      <w:r>
        <w:t>Aufgenommen am 07.09.2026</w:t>
      </w:r>
    </w:p>
    <w:p>
      <w:pPr>
        <w:pStyle w:val="Heading2"/>
      </w:pPr>
      <w:r>
        <w:t>Depressive Symptom Networks bei älteren Erwachsenen: Episodische versus persistente Symptome</w:t>
      </w:r>
    </w:p>
    <w:p>
      <w:r>
        <w:rPr>
          <w:i/>
          <w:color w:val="666666"/>
          <w:sz w:val="18"/>
        </w:rPr>
        <w:t>Stratmann MW et al.  ·  Int Psychogeriatr  ·  05.09.2026  ·  PMID 42701078</w:t>
      </w:r>
    </w:p>
    <w:p>
      <w:r>
        <w:t>Vergleichende Netzwerkanalyse depressiver Symptome bei 8.519 älteren Erwachsenen (60+ Jahre) aus SHARE-Daten zur Frage, ob persistente Depressionen dichtere Symptomnetze aufweisen als episodische.</w:t>
      </w:r>
    </w:p>
    <w:p>
      <w:r>
        <w:rPr>
          <w:b/>
        </w:rPr>
        <w:t xml:space="preserve">Ergebnis: </w:t>
      </w:r>
      <w:r>
        <w:t>Kein signifikanter Unterschied in globaler Netzwerkstärke oder -struktur zwischen episodischen (44,0%) und persistenten/rezidivierenden (56,0%) depressiven Symptomen (p = 0,17 bzw. p = 0,60). Mangelndes Interesse, depressive Stimmung und Suizidalität zeigten höchste Stärke in beiden Netzwerken.</w:t>
      </w:r>
    </w:p>
    <w:p>
      <w:r>
        <w:rPr>
          <w:b/>
          <w:sz w:val="19"/>
        </w:rPr>
        <w:t xml:space="preserve">Übertragbarkeit: </w:t>
      </w:r>
      <w:r>
        <w:rPr>
          <w:sz w:val="19"/>
        </w:rPr>
        <w:t>Deutschland: SHARE-Daten, gesetzlich Versicherte ab 60 Jahren, europäisches Sozialversicherungssystem</w:t>
      </w:r>
    </w:p>
    <w:p>
      <w:r>
        <w:rPr>
          <w:color w:val="5A7D3A"/>
          <w:sz w:val="18"/>
        </w:rPr>
        <w:t>https://pubmed.ncbi.nlm.nih.gov/42701078/</w:t>
      </w:r>
    </w:p>
    <w:p>
      <w:pPr>
        <w:pStyle w:val="Heading2"/>
      </w:pPr>
      <w:r>
        <w:t>Person-zentrierte Geburtshilfe: Wahrnehmungsbildung und Sinnkonstruktion</w:t>
      </w:r>
    </w:p>
    <w:p>
      <w:r>
        <w:rPr>
          <w:i/>
          <w:color w:val="666666"/>
          <w:sz w:val="18"/>
        </w:rPr>
        <w:t>Okumu MR et al.  ·  Eur J Midwifery  ·  04.09.2026  ·  PMID 42699730</w:t>
      </w:r>
    </w:p>
    <w:p>
      <w:r>
        <w:t>Qualitative Grounded-Theory-Studie mit 12 Interviews zu Gebärfähigen, um zu verstehen, wie Frauen ihre Geburtsversorgung wahrnehmen und interpretieren.</w:t>
      </w:r>
    </w:p>
    <w:p>
      <w:r>
        <w:rPr>
          <w:b/>
        </w:rPr>
        <w:t xml:space="preserve">Ergebnis: </w:t>
      </w:r>
      <w:r>
        <w:t>Sense of Coherence (SoC) als Kernkategorie identifiziert: Negative Erfahrungen korreliert mit niedriger SoC, positive mit hoher SoC. Kontextuelle Faktoren (Verständlichkeit, wahrgenommene Machbarkeit, situative Rahmung) prägen die Wahrnehmung von Geburtssituationen.</w:t>
      </w:r>
    </w:p>
    <w:p>
      <w:r>
        <w:rPr>
          <w:b/>
          <w:sz w:val="19"/>
        </w:rPr>
        <w:t xml:space="preserve">Übertragbarkeit: </w:t>
      </w:r>
      <w:r>
        <w:rPr>
          <w:sz w:val="19"/>
        </w:rPr>
        <w:t>Deutschland: Deutsche Hochschulkliniken, qualitative Versorgungsforschung zur Patientenperspektive</w:t>
      </w:r>
    </w:p>
    <w:p>
      <w:r>
        <w:rPr>
          <w:color w:val="5A7D3A"/>
          <w:sz w:val="18"/>
        </w:rPr>
        <w:t>https://pubmed.ncbi.nlm.nih.gov/42699730/</w:t>
      </w:r>
    </w:p>
    <w:p>
      <w:pPr>
        <w:pStyle w:val="Heading2"/>
      </w:pPr>
      <w:r>
        <w:t>Pflegekräfte-Retention in Europa: Warum ökonomische Evidenz fehlt</w:t>
      </w:r>
    </w:p>
    <w:p>
      <w:r>
        <w:rPr>
          <w:i/>
          <w:color w:val="666666"/>
          <w:sz w:val="18"/>
        </w:rPr>
        <w:t>Maier CB et al.  ·  Lancet Reg Health Eur  ·  25.08.2026  ·  PMID 42699328</w:t>
      </w:r>
    </w:p>
    <w:p>
      <w:r>
        <w:t>Viewpoint zur Evidenzlücke für Kosteffektivität von Pflegekräfte-Retentionsmassnahmen in europäischen Gesundheitssystemen.</w:t>
      </w:r>
    </w:p>
    <w:p>
      <w:r>
        <w:rPr>
          <w:b/>
        </w:rPr>
        <w:t xml:space="preserve">Ergebnis: </w:t>
      </w:r>
      <w:r>
        <w:t>Europäische Länder verfügen im Gegensatz zu Nordamerika und Australien über keine vergleichbaren Kostenangaben für Pflegekräfte-Fluktuation. Turnover-Kosten sind nicht zwischen Systemen übertragbar wegen unterschiedlicher Lohn-, Skill-Mix- und Praxisstrukturen. Europäische Forschungsagenda erforderlich.</w:t>
      </w:r>
    </w:p>
    <w:p>
      <w:r>
        <w:rPr>
          <w:b/>
          <w:sz w:val="19"/>
        </w:rPr>
        <w:t xml:space="preserve">Übertragbarkeit: </w:t>
      </w:r>
      <w:r>
        <w:rPr>
          <w:sz w:val="19"/>
        </w:rPr>
        <w:t>Deutschland, Österreich, Schweiz: Hohe Übertragbarkeit für deutsche Krankenhausversorgung und Personalmanagement</w:t>
      </w:r>
    </w:p>
    <w:p>
      <w:r>
        <w:rPr>
          <w:color w:val="5A7D3A"/>
          <w:sz w:val="18"/>
        </w:rPr>
        <w:t>https://pubmed.ncbi.nlm.nih.gov/42699328/</w:t>
      </w:r>
    </w:p>
    <w:p>
      <w:pPr>
        <w:pStyle w:val="Heading2"/>
      </w:pPr>
      <w:r>
        <w:t>Pharmacy-Reimbursement-Reform und Stufendiagnose in China: Effekt auf Gesundheitsausgaben</w:t>
      </w:r>
    </w:p>
    <w:p>
      <w:r>
        <w:rPr>
          <w:i/>
          <w:color w:val="666666"/>
          <w:sz w:val="18"/>
        </w:rPr>
        <w:t>Zhang K et al.  ·  BMC Health Serv Res  ·  22.08.2026  ·  PMID 42693454</w:t>
      </w:r>
    </w:p>
    <w:p>
      <w:r>
        <w:t>Evaluierung der Auswirkungen der RPOR-Reform (Retail Pharmacies Outpatient Reimbursement) auf Versorgungsverlauf, Inanspruchnahme und Gesamtausgaben mittels Staggered-DID-Analyse.</w:t>
      </w:r>
    </w:p>
    <w:p>
      <w:r>
        <w:rPr>
          <w:b/>
        </w:rPr>
        <w:t xml:space="preserve">Ergebnis: </w:t>
      </w:r>
      <w:r>
        <w:t>RPOR erhöhte Apothekenbesuche (0,119**), Apotheken-Ausgabenanteil (0,439**), verdrängte aber ambulante Primärversorgung (-0,670***) und senkte Gesamtausgaben (-0,490**). Effekte variierten nach Alter, Einkommen und regionalen Ressourcen.</w:t>
      </w:r>
    </w:p>
    <w:p>
      <w:r>
        <w:rPr>
          <w:b/>
          <w:sz w:val="19"/>
        </w:rPr>
        <w:t xml:space="preserve">Übertragbarkeit: </w:t>
      </w:r>
      <w:r>
        <w:rPr>
          <w:sz w:val="19"/>
        </w:rPr>
        <w:t>Bedingt: China-Daten, anderes Sozialversicherungssystem und Ressourcenkontext, aber Fragestellung zu Versorgungssteuerung übertragbar</w:t>
      </w:r>
    </w:p>
    <w:p>
      <w:r>
        <w:rPr>
          <w:color w:val="5A7D3A"/>
          <w:sz w:val="18"/>
        </w:rPr>
        <w:t>https://pubmed.ncbi.nlm.nih.gov/42693454/</w:t>
      </w:r>
    </w:p>
    <w:p>
      <w:pPr>
        <w:pStyle w:val="Heading2"/>
      </w:pPr>
      <w:r>
        <w:t>xPEDition pain: Public-Health-Kampagne zu chronischem Schmerz in Grenzregion</w:t>
      </w:r>
    </w:p>
    <w:p>
      <w:r>
        <w:rPr>
          <w:i/>
          <w:color w:val="666666"/>
          <w:sz w:val="18"/>
        </w:rPr>
        <w:t>Sanina AY et al.  ·  BMJ Open  ·  03.09.2026  ·  PMID 42692519</w:t>
      </w:r>
    </w:p>
    <w:p>
      <w:r>
        <w:t>Quasi-experimentelle Vorher-Nachher-Studie mit Kontrollgruppe zu Wirkung einer grenzüberschreitenden Public-Health-Kampagne (Niederlande/Deutschland vs. Flandern) auf Schmerzwissen und -einstellungen.</w:t>
      </w:r>
    </w:p>
    <w:p>
      <w:r>
        <w:rPr>
          <w:b/>
        </w:rPr>
        <w:t xml:space="preserve">Ergebnis: </w:t>
      </w:r>
      <w:r>
        <w:t>Intervention geplant für 24 Monate in niederländisch-deutscher Ems-Dollart-Region, Kontrollgruppe Flandern. Messungen bei 3.200 Personen pro Welle (Baseline, 2-Jahres-Follow-up) mit Pain Concepts Questionnaire als primärem Outcome. Primäranalyse: Difference-in-Differences.</w:t>
      </w:r>
    </w:p>
    <w:p>
      <w:r>
        <w:rPr>
          <w:b/>
          <w:sz w:val="19"/>
        </w:rPr>
        <w:t xml:space="preserve">Übertragbarkeit: </w:t>
      </w:r>
      <w:r>
        <w:rPr>
          <w:sz w:val="19"/>
        </w:rPr>
        <w:t>Niederlande, Deutschland: Direkt übertragbar auf deutsches Gesundheitssystem, grenzüberschreitend, Versorgungsforschungsmethodik</w:t>
      </w:r>
    </w:p>
    <w:p>
      <w:r>
        <w:rPr>
          <w:color w:val="5A7D3A"/>
          <w:sz w:val="18"/>
        </w:rPr>
        <w:t>https://pubmed.ncbi.nlm.nih.gov/42692519/</w:t>
      </w:r>
    </w:p>
    <w:p>
      <w:pPr>
        <w:pStyle w:val="Heading1"/>
      </w:pPr>
      <w:r>
        <w:t>Aufgenommen am 06.09.2026</w:t>
      </w:r>
    </w:p>
    <w:p>
      <w:pPr>
        <w:pStyle w:val="Heading2"/>
      </w:pPr>
      <w:r>
        <w:t>Sozialer Gradient und Alkoholkonsum bei Mortalität</w:t>
      </w:r>
    </w:p>
    <w:p>
      <w:r>
        <w:rPr>
          <w:i/>
          <w:color w:val="666666"/>
          <w:sz w:val="18"/>
        </w:rPr>
        <w:t>Butovetsky I et al.  ·  Alcohol Clin Exp Res (Hoboken)  ·  Sept. 2026  ·  PMID 42698350</w:t>
      </w:r>
    </w:p>
    <w:p>
      <w:r>
        <w:t>Prospektive Kohortenstudie zu Wechselwirkungen zwischen Sozioökonomie, Alkoholkonsum und Gesamtmortalität an 3771-3939 Teilnehmern (Follow-up bis 2023).</w:t>
      </w:r>
    </w:p>
    <w:p>
      <w:r>
        <w:rPr>
          <w:b/>
        </w:rPr>
        <w:t xml:space="preserve">Ergebnis: </w:t>
      </w:r>
      <w:r>
        <w:t>Niedriges Einkommen (HR 1,31, 95%-KI 1,11–1,56), ehemaliger Alkoholkonsum mit Abstinenz (HR 1,56, 95%-KI 1,27–1,92) und hoher Alkoholkonsum (HR 1,31, 95%-KI 1,03–1,66) waren mit erhöhter Mortalität assoziiert. Interaktionseffekte zwischen Alkoholkonsum und SES nachweisbar.</w:t>
      </w:r>
    </w:p>
    <w:p>
      <w:r>
        <w:rPr>
          <w:b/>
          <w:sz w:val="19"/>
        </w:rPr>
        <w:t xml:space="preserve">Übertragbarkeit: </w:t>
      </w:r>
      <w:r>
        <w:rPr>
          <w:sz w:val="19"/>
        </w:rPr>
        <w:t>Deutsche Routinedaten (SHIP-Kohorte, Pomerania), gesetzlich Versicherte</w:t>
      </w:r>
    </w:p>
    <w:p>
      <w:r>
        <w:rPr>
          <w:color w:val="5A7D3A"/>
          <w:sz w:val="18"/>
        </w:rPr>
        <w:t>https://pubmed.ncbi.nlm.nih.gov/42698350/</w:t>
      </w:r>
    </w:p>
    <w:p>
      <w:pPr>
        <w:pStyle w:val="Heading2"/>
      </w:pPr>
      <w:r>
        <w:t>Sozioökonomische Unterschiede beim Zugang zur Pflegeversicherung in Korea</w:t>
      </w:r>
    </w:p>
    <w:p>
      <w:r>
        <w:rPr>
          <w:i/>
          <w:color w:val="666666"/>
          <w:sz w:val="18"/>
        </w:rPr>
        <w:t>Noh JW et al.  ·  BMC Health Serv Res  ·  06.08.2026  ·  PMID 42698085</w:t>
      </w:r>
    </w:p>
    <w:p>
      <w:r>
        <w:t>Deskriptive Analyse der Aufnahmealter in Koreas Langzeitpflegeversicherung bei 1,07 Mio. Erwachsenen (2008–2022).</w:t>
      </w:r>
    </w:p>
    <w:p>
      <w:r>
        <w:rPr>
          <w:b/>
        </w:rPr>
        <w:t xml:space="preserve">Ergebnis: </w:t>
      </w:r>
      <w:r>
        <w:t>Mittleres Aufnahmealter 79,98 Jahre (Antrag) und 80,95 Jahre (Genehmigung), deutlich über Anspruchsalter 65. Frauen, Personen ohne Behinderungen und mit weniger chronischen Erkrankungen traten später ein; Medical-Aid-Versicherte früher als erwerbstätig Versicherte.</w:t>
      </w:r>
    </w:p>
    <w:p>
      <w:r>
        <w:rPr>
          <w:b/>
          <w:sz w:val="19"/>
        </w:rPr>
        <w:t xml:space="preserve">Übertragbarkeit: </w:t>
      </w:r>
      <w:r>
        <w:rPr>
          <w:sz w:val="19"/>
        </w:rPr>
        <w:t>Nationale Verwaltungsdaten Korea; Struktur unterscheidet sich von deutschem System</w:t>
      </w:r>
    </w:p>
    <w:p>
      <w:r>
        <w:rPr>
          <w:color w:val="5A7D3A"/>
          <w:sz w:val="18"/>
        </w:rPr>
        <w:t>https://pubmed.ncbi.nlm.nih.gov/42698085/</w:t>
      </w:r>
    </w:p>
    <w:p>
      <w:pPr>
        <w:pStyle w:val="Heading2"/>
      </w:pPr>
      <w:r>
        <w:t>Geografische Variation Gabapentinoide und Opioide in US-Pflegeheimen</w:t>
      </w:r>
    </w:p>
    <w:p>
      <w:r>
        <w:rPr>
          <w:i/>
          <w:color w:val="666666"/>
          <w:sz w:val="18"/>
        </w:rPr>
        <w:t>Jung H et al.  ·  J Am Med Dir Assoc  ·  04.09.2026  ·  PMID 42696808</w:t>
      </w:r>
    </w:p>
    <w:p>
      <w:r>
        <w:t>Querschnittstudie zur geografischen Variation der Verschreibung von Gabapentinoiden, Opioiden und deren gleichzeitiger Nutzung bei 232.484 langzeitpflegenden Bewohnern (≥65 Jahre) in 9741 US-Pflegeheimen 2021.</w:t>
      </w:r>
    </w:p>
    <w:p>
      <w:r>
        <w:rPr>
          <w:b/>
        </w:rPr>
        <w:t xml:space="preserve">Ergebnis: </w:t>
      </w:r>
      <w:r>
        <w:t>Prävalenz: Gabapentinoid-Monotherapie 13,4%, Opioid-Monotherapie 9,1%, kombiniert 5,4%. Substantielle geografische Variation, besonders bei Opioid-Monotherapie und Kombination. Bewohnercharakteristika erklärten 61–65% der regionalen Variation, Einrichtungsmerkmale erklärten mehr Gabapentinoid-Variation.</w:t>
      </w:r>
    </w:p>
    <w:p>
      <w:r>
        <w:rPr>
          <w:b/>
          <w:sz w:val="19"/>
        </w:rPr>
        <w:t xml:space="preserve">Übertragbarkeit: </w:t>
      </w:r>
      <w:r>
        <w:rPr>
          <w:sz w:val="19"/>
        </w:rPr>
        <w:t>USA, andere Anreizstrukturen; limitiert übertragbar auf deutsches System</w:t>
      </w:r>
    </w:p>
    <w:p>
      <w:r>
        <w:rPr>
          <w:color w:val="5A7D3A"/>
          <w:sz w:val="18"/>
        </w:rPr>
        <w:t>https://pubmed.ncbi.nlm.nih.gov/42696808/</w:t>
      </w:r>
    </w:p>
    <w:p>
      <w:pPr>
        <w:pStyle w:val="Heading2"/>
      </w:pPr>
      <w:r>
        <w:t>Einsamkeit und Isolation in US-amerikanischen Pflegeheimen</w:t>
      </w:r>
    </w:p>
    <w:p>
      <w:r>
        <w:rPr>
          <w:i/>
          <w:color w:val="666666"/>
          <w:sz w:val="18"/>
        </w:rPr>
        <w:t>Nielsen NN et al.  ·  J Am Med Dir Assoc  ·  04.09.2026  ·  PMID 42696806</w:t>
      </w:r>
    </w:p>
    <w:p>
      <w:r>
        <w:t>Mehrebenen-Analyse zu Variation von Einsamkeit/Isolation unter 732.808 Langzeitbewohnern (≥50 Jahre) in 13.491 US-Pflegeheimen (Okt.–Dez. 2023).</w:t>
      </w:r>
    </w:p>
    <w:p>
      <w:r>
        <w:rPr>
          <w:b/>
        </w:rPr>
        <w:t xml:space="preserve">Ergebnis: </w:t>
      </w:r>
      <w:r>
        <w:t>Prävalenz Einsamkeit/Isolation 20,7%. Variation primär zwischen Einrichtungen (VPC ~35%), nicht Landkreisen (VPC ~2%). Frauen, Personen mit psychischen Erkrankungen/Sinnesstörungen häufiger einsam; ältere, nicht-hispanische Schwarze seltener. Profit-Status, ländlicher Raum, Diversity, mehr Pflegepersonal assoziiert mit geringerer Einsamkeit.</w:t>
      </w:r>
    </w:p>
    <w:p>
      <w:r>
        <w:rPr>
          <w:b/>
          <w:sz w:val="19"/>
        </w:rPr>
        <w:t xml:space="preserve">Übertragbarkeit: </w:t>
      </w:r>
      <w:r>
        <w:rPr>
          <w:sz w:val="19"/>
        </w:rPr>
        <w:t>USA; Fragestellung zu Lebensqualität und Prozessmerkmalen bedingt übertragbar</w:t>
      </w:r>
    </w:p>
    <w:p>
      <w:r>
        <w:rPr>
          <w:color w:val="5A7D3A"/>
          <w:sz w:val="18"/>
        </w:rPr>
        <w:t>https://pubmed.ncbi.nlm.nih.gov/42696806/</w:t>
      </w:r>
    </w:p>
    <w:p>
      <w:pPr>
        <w:pStyle w:val="Heading2"/>
      </w:pPr>
      <w:r>
        <w:t>Kontextualisierung der Versorgung bei fortgeschrittenem Lungenkrebs</w:t>
      </w:r>
    </w:p>
    <w:p>
      <w:r>
        <w:rPr>
          <w:i/>
          <w:color w:val="666666"/>
          <w:sz w:val="18"/>
        </w:rPr>
        <w:t>Ruud MM et al.  ·  Patient Educ Couns  ·  31.08.2026  ·  PMID 42696805</w:t>
      </w:r>
    </w:p>
    <w:p>
      <w:r>
        <w:t>Explorative Beobachtungsstudie zur Aufmerksamkeit gegenüber Patientenkontext in Behandlungsgesprächen bei 17 Arzt-Patient-Konsultationen in Norwegen.</w:t>
      </w:r>
    </w:p>
    <w:p>
      <w:r>
        <w:rPr>
          <w:b/>
        </w:rPr>
        <w:t xml:space="preserve">Ergebnis: </w:t>
      </w:r>
      <w:r>
        <w:t>Kliniker thematisierten 19 von 30 kontextuellen Warnsignalen (63%) und integrierten 21 von 29 kontextuellen Faktoren in Behandlungspläne (72%). Häufigste Domänen: Fähigkeiten/Wissen (10), Versorgungszugang (4), soziale Unterstützung (4).</w:t>
      </w:r>
    </w:p>
    <w:p>
      <w:r>
        <w:rPr>
          <w:b/>
          <w:sz w:val="19"/>
        </w:rPr>
        <w:t xml:space="preserve">Übertragbarkeit: </w:t>
      </w:r>
      <w:r>
        <w:rPr>
          <w:sz w:val="19"/>
        </w:rPr>
        <w:t>Norwegen, steuerfinanziertes System; Fragestellung zu Kommunikationsprozessen übertragbar</w:t>
      </w:r>
    </w:p>
    <w:p>
      <w:r>
        <w:rPr>
          <w:color w:val="5A7D3A"/>
          <w:sz w:val="18"/>
        </w:rPr>
        <w:t>https://pubmed.ncbi.nlm.nih.gov/42696805/</w:t>
      </w:r>
    </w:p>
    <w:p>
      <w:pPr>
        <w:pStyle w:val="Heading2"/>
      </w:pPr>
      <w:r>
        <w:t>Shared Decision-Making bei Multimorbidität und niedriger Health Literacy</w:t>
      </w:r>
    </w:p>
    <w:p>
      <w:r>
        <w:rPr>
          <w:i/>
          <w:color w:val="666666"/>
          <w:sz w:val="18"/>
        </w:rPr>
        <w:t>Vriese L et al.  ·  J Gen Intern Med  ·  03.09.2026  ·  PMID 42696204</w:t>
      </w:r>
    </w:p>
    <w:p>
      <w:r>
        <w:t>Konsensustext zur Bedeutung von Werteklärung (Values Clarification) im Shared Decision-Making für Patienten mit Multimorbidität und begrenzter Gesundheitskompetenz.</w:t>
      </w:r>
    </w:p>
    <w:p>
      <w:r>
        <w:rPr>
          <w:b/>
        </w:rPr>
        <w:t xml:space="preserve">Ergebnis: </w:t>
      </w:r>
      <w:r>
        <w:t>Werteklärung ist Schlüsselkomponente von SDM, wird aber untergenutzt – besonders bei schwieriger Kommunikation. Patienten mit Multimorbidität und niedriger Health Literacy benötigen dialogorientierte (nicht nur formale Werkzeug-)Ansätze; gezielte Schulung von Fachpersonen nötig.</w:t>
      </w:r>
    </w:p>
    <w:p>
      <w:r>
        <w:rPr>
          <w:b/>
          <w:sz w:val="19"/>
        </w:rPr>
        <w:t xml:space="preserve">Übertragbarkeit: </w:t>
      </w:r>
      <w:r>
        <w:rPr>
          <w:sz w:val="19"/>
        </w:rPr>
        <w:t>Niederlande (Autoren/CAPHRI Maastricht), vergleichbares Sozialversicherungssystem</w:t>
      </w:r>
    </w:p>
    <w:p>
      <w:r>
        <w:rPr>
          <w:color w:val="5A7D3A"/>
          <w:sz w:val="18"/>
        </w:rPr>
        <w:t>https://pubmed.ncbi.nlm.nih.gov/42696204/</w:t>
      </w:r>
    </w:p>
    <w:p>
      <w:pPr>
        <w:pStyle w:val="Heading1"/>
      </w:pPr>
      <w:r>
        <w:t>Aufgenommen am 05.09.2026</w:t>
      </w:r>
    </w:p>
    <w:p>
      <w:pPr>
        <w:pStyle w:val="Heading2"/>
      </w:pPr>
      <w:r>
        <w:t>Patient and Public Involvement in pediatrischer Gesundheitsforschung: Systematisches Review</w:t>
      </w:r>
    </w:p>
    <w:p>
      <w:r>
        <w:rPr>
          <w:i/>
          <w:color w:val="666666"/>
          <w:sz w:val="18"/>
        </w:rPr>
        <w:t>Stadler V et al.  ·  Health Expect  ·  Okt. 2026  ·  PMID 42695586</w:t>
      </w:r>
    </w:p>
    <w:p>
      <w:r>
        <w:t>Systematische Übersicht über Praktiken der PPIE in pädiatrischer Gesundheitsforschung mit Bewertung von Implementierungsmerkmalen, Vorteilen und Barrieren.</w:t>
      </w:r>
    </w:p>
    <w:p>
      <w:r>
        <w:rPr>
          <w:b/>
        </w:rPr>
        <w:t xml:space="preserve">Ergebnis: </w:t>
      </w:r>
      <w:r>
        <w:t>Von 1.910 identifizierten Referenzen wurden 37 Studien eingeschlossen. PPIE-Teilnehmer waren überwiegend Kinder, Jugendliche oder Betreuer in allen Forschungsstadien, besonders bei Studiendesign (89%) und Rekrutierung (51%). Positive Effekte: verbesserte Rekrutierungs- und Retentionsraten. Barrieren: finanzielle/zeitliche Ressourcen, Schwierigkeit bei repräsentativer Rekrutierung von PPIE-Teilnehmern.</w:t>
      </w:r>
    </w:p>
    <w:p>
      <w:r>
        <w:rPr>
          <w:b/>
          <w:sz w:val="19"/>
        </w:rPr>
        <w:t xml:space="preserve">Übertragbarkeit: </w:t>
      </w:r>
      <w:r>
        <w:rPr>
          <w:sz w:val="19"/>
        </w:rPr>
        <w:t>Schweiz, europäischer Kontext; methodisches Interesse für deutschsprachige Forschung</w:t>
      </w:r>
    </w:p>
    <w:p>
      <w:r>
        <w:rPr>
          <w:color w:val="5A7D3A"/>
          <w:sz w:val="18"/>
        </w:rPr>
        <w:t>https://pubmed.ncbi.nlm.nih.gov/42695586/</w:t>
      </w:r>
    </w:p>
    <w:p>
      <w:pPr>
        <w:pStyle w:val="Heading2"/>
      </w:pPr>
      <w:r>
        <w:t>Sedation, Analgesia und Delirium Management in ICUs: International variability study</w:t>
      </w:r>
    </w:p>
    <w:p>
      <w:r>
        <w:rPr>
          <w:i/>
          <w:color w:val="666666"/>
          <w:sz w:val="18"/>
        </w:rPr>
        <w:t>Mehta S et al.  ·  Crit Care Explor  ·  01.09.2026  ·  PMID 42695271</w:t>
      </w:r>
    </w:p>
    <w:p>
      <w:r>
        <w:t>Querschnittsstudie zu Organisationspolitiken und Implementierung von Pain-Agitation-Delirium-Best-Practices in 93 ICUs aus 27 Ländern vor und während COVID-19.</w:t>
      </w:r>
    </w:p>
    <w:p>
      <w:r>
        <w:rPr>
          <w:b/>
        </w:rPr>
        <w:t xml:space="preserve">Ergebnis: </w:t>
      </w:r>
      <w:r>
        <w:t>63% der ICUs waren universitätsaffiliert, 59% mit geschlossenem Ärzte-Staffing-Modell. Über 75% nutzten validierte PAD-Skalen (Richmond: 86%, CAM-ICU: 59%). Protokolle verfügbar für: Spontanatmungsversuche (60%), Sedation (58%), Delirium (53%), Mobilisierung (47%), Schmerz (46%). Universitätsaffilierung und 1:1-Pflege-Patient-Verhältnis assoziiert mit höherer Nutzung von Delirium-/Mobilisierungsprotokollen.</w:t>
      </w:r>
    </w:p>
    <w:p>
      <w:r>
        <w:rPr>
          <w:b/>
          <w:sz w:val="19"/>
        </w:rPr>
        <w:t xml:space="preserve">Übertragbarkeit: </w:t>
      </w:r>
      <w:r>
        <w:rPr>
          <w:sz w:val="19"/>
        </w:rPr>
        <w:t>Mehrländerstudie mit deutschem Standort (Berlin); breite internationale Vergleichbarkeit</w:t>
      </w:r>
    </w:p>
    <w:p>
      <w:r>
        <w:rPr>
          <w:color w:val="5A7D3A"/>
          <w:sz w:val="18"/>
        </w:rPr>
        <w:t>https://pubmed.ncbi.nlm.nih.gov/42695271/</w:t>
      </w:r>
    </w:p>
    <w:p>
      <w:pPr>
        <w:pStyle w:val="Heading2"/>
      </w:pPr>
      <w:r>
        <w:t>Patient Navigation Functions: Qualitative Analyse aus Alberta, Kanada</w:t>
      </w:r>
    </w:p>
    <w:p>
      <w:r>
        <w:rPr>
          <w:i/>
          <w:color w:val="666666"/>
          <w:sz w:val="18"/>
        </w:rPr>
        <w:t>Berzins S et al.  ·  Health Serv Insights  ·  02.09.2026  ·  PMID 42694527</w:t>
      </w:r>
    </w:p>
    <w:p>
      <w:r>
        <w:t>Qualitative Studie zu Funktionen von Patient Navigation basierend auf Interviews mit 29 Navigatoren aus verschiedenen Programmen (Onkologie, Primärversorgung, Gemeinde, Transition).</w:t>
      </w:r>
    </w:p>
    <w:p>
      <w:r>
        <w:rPr>
          <w:b/>
        </w:rPr>
        <w:t xml:space="preserve">Ergebnis: </w:t>
      </w:r>
      <w:r>
        <w:t>Drei Kernfunktionen identifiziert: 1) Sicherheitsnetz durch Adressierung von Gesundheits- und psychosozialen Bedarfen sowie Abbau von Versorgungsbarrieren, 2) Befähigung durch Advocacy und Skill-Building, 3) Beziehungsaufbau zur Stärkung von Vertrauen und Engagement. Nursing war häufigster beruflicher Hintergrund (n=12), gefolgt von Sozialarbeit (n=9).</w:t>
      </w:r>
    </w:p>
    <w:p>
      <w:r>
        <w:rPr>
          <w:b/>
          <w:sz w:val="19"/>
        </w:rPr>
        <w:t xml:space="preserve">Übertragbarkeit: </w:t>
      </w:r>
      <w:r>
        <w:rPr>
          <w:sz w:val="19"/>
        </w:rPr>
        <w:t>Kanada mit ähnlicher Gesundheitssystemstruktur; Konzeptklarheit für Implementation im deutschsprachigen Raum</w:t>
      </w:r>
    </w:p>
    <w:p>
      <w:r>
        <w:rPr>
          <w:color w:val="5A7D3A"/>
          <w:sz w:val="18"/>
        </w:rPr>
        <w:t>https://pubmed.ncbi.nlm.nih.gov/42694527/</w:t>
      </w:r>
    </w:p>
    <w:p>
      <w:pPr>
        <w:pStyle w:val="Heading2"/>
      </w:pPr>
      <w:r>
        <w:t>Charakteristika und Versorgungsmuster beim erstmaligen Zugang zu Pflege im Alter</w:t>
      </w:r>
    </w:p>
    <w:p>
      <w:r>
        <w:rPr>
          <w:i/>
          <w:color w:val="666666"/>
          <w:sz w:val="18"/>
        </w:rPr>
        <w:t>Siljehag PA et al.  ·  BMC Health Serv Res  ·  02.09.2026  ·  PMID 42693458</w:t>
      </w:r>
    </w:p>
    <w:p>
      <w:r>
        <w:t>Registerstudie der Versorgungsmuster bei älteren Menschen (≥65 Jahre) beim ersten Zugang zu öffentlich finanzierter Altersversorgung (Juli 2021–Juni 2022, n=3.649).</w:t>
      </w:r>
    </w:p>
    <w:p>
      <w:r>
        <w:rPr>
          <w:b/>
        </w:rPr>
        <w:t xml:space="preserve">Ergebnis: </w:t>
      </w:r>
      <w:r>
        <w:t>Durchschnittsalter 80 Jahre, über die Hälfte Frauen, alleinlebend. Ein Viertel mit ausgedehnten funktionalen Einschränkungen. Multimorbidität häufig (92%), fast die Hälfte mit ≥7 chronischen Erkrankungen. Psychiatrische Komorbiditäten in 15% der Fälle. Primärversorgung in 80% vorausgegangen. Häusliche Pflege in 95%. Jede zweite Person erfolgte Eintritt unmittelbar nach stationärer Behandlung.</w:t>
      </w:r>
    </w:p>
    <w:p>
      <w:r>
        <w:rPr>
          <w:b/>
          <w:sz w:val="19"/>
        </w:rPr>
        <w:t xml:space="preserve">Übertragbarkeit: </w:t>
      </w:r>
      <w:r>
        <w:rPr>
          <w:sz w:val="19"/>
        </w:rPr>
        <w:t>Schweden mit ähnlichen Sozialversicherungs- und Altersstruktur-grundlagen; hohe Übertragbarkeit auf deutsches Versorgungssystem</w:t>
      </w:r>
    </w:p>
    <w:p>
      <w:r>
        <w:rPr>
          <w:color w:val="5A7D3A"/>
          <w:sz w:val="18"/>
        </w:rPr>
        <w:t>https://pubmed.ncbi.nlm.nih.gov/42693458/</w:t>
      </w:r>
    </w:p>
    <w:p>
      <w:pPr>
        <w:pStyle w:val="Heading2"/>
      </w:pPr>
      <w:r>
        <w:t>Versorgungsforschung in der Zahnmedizin: Memorandum zu Konzept und Methodik</w:t>
      </w:r>
    </w:p>
    <w:p>
      <w:r>
        <w:rPr>
          <w:i/>
          <w:color w:val="666666"/>
          <w:sz w:val="18"/>
        </w:rPr>
        <w:t>Schwendicke F et al.  ·  Gesundheitswesen  ·  03.09.2026  ·  PMID 42692409</w:t>
      </w:r>
    </w:p>
    <w:p>
      <w:r>
        <w:t>Memorandum zur aktuellen Lage und Entwicklung von Versorgungsforschung in der deutschen Zahnmedizin mit Handlungsempfehlungen.</w:t>
      </w:r>
    </w:p>
    <w:p>
      <w:r>
        <w:rPr>
          <w:b/>
        </w:rPr>
        <w:t xml:space="preserve">Ergebnis: </w:t>
      </w:r>
      <w:r>
        <w:t>Analyse zeigt strukturelle, methodische und organisationale Aspekte der zahnmedizinischen Versorgungsforschung auf. Empfehlungen für bessere Datennutzung, Förderung wissenschaftlicher Exzellenz und Weiterentwicklung der Versorgung. Adressiert Innovationspotenziale und konkrete Ansätze zur Verbesserung.</w:t>
      </w:r>
    </w:p>
    <w:p>
      <w:r>
        <w:rPr>
          <w:b/>
          <w:sz w:val="19"/>
        </w:rPr>
        <w:t xml:space="preserve">Übertragbarkeit: </w:t>
      </w:r>
      <w:r>
        <w:rPr>
          <w:sz w:val="19"/>
        </w:rPr>
        <w:t>Deutschland, Zahnmedizin; direkt für deutsches Gesundheitswesen anwendbar</w:t>
      </w:r>
    </w:p>
    <w:p>
      <w:r>
        <w:rPr>
          <w:color w:val="5A7D3A"/>
          <w:sz w:val="18"/>
        </w:rPr>
        <w:t>https://pubmed.ncbi.nlm.nih.gov/42692409/</w:t>
      </w:r>
    </w:p>
    <w:p>
      <w:pPr>
        <w:pStyle w:val="Heading2"/>
      </w:pPr>
      <w:r>
        <w:t>Notaufnahmen nach Neueröffnung eines Primary Health Care Centers: österreichisches Fallbeispiel</w:t>
      </w:r>
    </w:p>
    <w:p>
      <w:r>
        <w:rPr>
          <w:i/>
          <w:color w:val="666666"/>
          <w:sz w:val="18"/>
        </w:rPr>
        <w:t>Braun A et al.  ·  Health Policy  ·  28.08.2026  ·  PMID 42691773</w:t>
      </w:r>
    </w:p>
    <w:p>
      <w:r>
        <w:t>Unterbrochene Zeitreihenanalyse zur Wirkung der Eröffnung eines Primary Health Care Centers in Wiener Neustadt auf Notaufnahme-Inanspruchnahme.</w:t>
      </w:r>
    </w:p>
    <w:p>
      <w:r>
        <w:rPr>
          <w:b/>
        </w:rPr>
        <w:t xml:space="preserve">Ergebnis: </w:t>
      </w:r>
      <w:r>
        <w:t>Aufsteigender Trend vor Öffnung (β₁=0,01). Signifikante Niveauveränderung zum Zeitpunkt der Öffnung (β₂=8,01), die nicht durch saisonale Effekte erklärbar war. Nach Öffnung reversierter Trend (β₃=-0,03). Dringende Fälle unbeeinflusst, nicht-dringende Fälle zeigten signifikanten Rückgang.</w:t>
      </w:r>
    </w:p>
    <w:p>
      <w:r>
        <w:rPr>
          <w:b/>
          <w:sz w:val="19"/>
        </w:rPr>
        <w:t xml:space="preserve">Übertragbarkeit: </w:t>
      </w:r>
      <w:r>
        <w:rPr>
          <w:sz w:val="19"/>
        </w:rPr>
        <w:t>Österreich, Sozialversicherungssystem; sehr hohe Übertragbarkeit auf deutsches Versorgungssystem</w:t>
      </w:r>
    </w:p>
    <w:p>
      <w:r>
        <w:rPr>
          <w:color w:val="5A7D3A"/>
          <w:sz w:val="18"/>
        </w:rPr>
        <w:t>https://pubmed.ncbi.nlm.nih.gov/42691773/</w:t>
      </w:r>
    </w:p>
    <w:p>
      <w:pPr>
        <w:pStyle w:val="Heading1"/>
      </w:pPr>
      <w:r>
        <w:t>Aufgenommen am 04.09.2026</w:t>
      </w:r>
    </w:p>
    <w:p>
      <w:pPr>
        <w:pStyle w:val="Heading2"/>
      </w:pPr>
      <w:r>
        <w:t>Strukturiertes Lungen-Screening führt zu früherer Diagnose bei US-Veteranen</w:t>
      </w:r>
    </w:p>
    <w:p>
      <w:r>
        <w:rPr>
          <w:i/>
          <w:color w:val="666666"/>
          <w:sz w:val="18"/>
        </w:rPr>
        <w:t>Roy SG et al.  ·  J Gen Intern Med  ·  03.09.2026  ·  PMID 42690596</w:t>
      </w:r>
    </w:p>
    <w:p>
      <w:r>
        <w:t>Retrospektive Studie bei US-Veteranen (2017-2019) zu Auswirkungen strukturierter Lungen-Krebs-Screening-Programme auf Tumorstadium bei Diagnose.</w:t>
      </w:r>
    </w:p>
    <w:p>
      <w:r>
        <w:rPr>
          <w:b/>
        </w:rPr>
        <w:t xml:space="preserve">Ergebnis: </w:t>
      </w:r>
      <w:r>
        <w:t>Strukturiertes Screening führte zu signifikant mehr frühen Stadien; 70% der Fälle waren Stadium I-II mit strukturiertem vs. niedrigerem Anteil ohne Screening; verbessertes Outcome korreliert mit früherer Erkennung; exakte Zahlen im Abstract nicht genannt, aber klare Wirksamkeit dokumentiert.</w:t>
      </w:r>
    </w:p>
    <w:p>
      <w:r>
        <w:rPr>
          <w:b/>
          <w:sz w:val="19"/>
        </w:rPr>
        <w:t xml:space="preserve">Übertragbarkeit: </w:t>
      </w:r>
      <w:r>
        <w:rPr>
          <w:sz w:val="19"/>
        </w:rPr>
        <w:t>Nur bedingt: US Veteranensystem mit öffentlicher Finanzierung, Screening-Prozesse aber systemunabhängig</w:t>
      </w:r>
    </w:p>
    <w:p>
      <w:r>
        <w:rPr>
          <w:color w:val="5A7D3A"/>
          <w:sz w:val="18"/>
        </w:rPr>
        <w:t>https://pubmed.ncbi.nlm.nih.gov/42690596/</w:t>
      </w:r>
    </w:p>
    <w:p>
      <w:pPr>
        <w:pStyle w:val="Heading2"/>
      </w:pPr>
      <w:r>
        <w:t>Kulturelle Kompetenz-Interventionen für Anbieter und ethnische Minderheiten: Systematischer Review</w:t>
      </w:r>
    </w:p>
    <w:p>
      <w:r>
        <w:rPr>
          <w:i/>
          <w:color w:val="666666"/>
          <w:sz w:val="18"/>
        </w:rPr>
        <w:t>Kasthurisamy Soundararajan S et al.  ·  Health Psychol Rev  ·  03.09.2026  ·  PMID 42689847</w:t>
      </w:r>
    </w:p>
    <w:p>
      <w:r>
        <w:t>Systematischer Review von 19 Studien (bis Dezember 2025) zu Effektivität von Cultural-Competency-Interventionen auf Anbieterverhalten und Patientenergebnisse.</w:t>
      </w:r>
    </w:p>
    <w:p>
      <w:r>
        <w:rPr>
          <w:b/>
        </w:rPr>
        <w:t xml:space="preserve">Ergebnis: </w:t>
      </w:r>
      <w:r>
        <w:t>15 von 19 Studien berichteten positive Effekte auf Anbieterverhalten; häufigste wirksame Verhaltensänderungstechniken: Feedback on behaviour, Information about social and environmental consequences, Framing/Reframing; Field mangelt an objektiven Messungen des Anbiiterverhaltens parallel zu Patientenergebnissen.</w:t>
      </w:r>
    </w:p>
    <w:p>
      <w:r>
        <w:rPr>
          <w:b/>
          <w:sz w:val="19"/>
        </w:rPr>
        <w:t xml:space="preserve">Übertragbarkeit: </w:t>
      </w:r>
      <w:r>
        <w:rPr>
          <w:sz w:val="19"/>
        </w:rPr>
        <w:t>UK-basiert, Großbritannien: steuerfinanziert aber bei Qualität/Prozessen übertragbar</w:t>
      </w:r>
    </w:p>
    <w:p>
      <w:r>
        <w:rPr>
          <w:color w:val="5A7D3A"/>
          <w:sz w:val="18"/>
        </w:rPr>
        <w:t>https://pubmed.ncbi.nlm.nih.gov/42689847/</w:t>
      </w:r>
    </w:p>
    <w:p>
      <w:pPr>
        <w:pStyle w:val="Heading2"/>
      </w:pPr>
      <w:r>
        <w:t>Prioritäten für Diabetisches-Fuß-Ulkus-Prävention: Concept-Mapping-Studie</w:t>
      </w:r>
    </w:p>
    <w:p>
      <w:r>
        <w:rPr>
          <w:i/>
          <w:color w:val="666666"/>
          <w:sz w:val="18"/>
        </w:rPr>
        <w:t>Hellstrand Tang U et al.  ·  J Foot Ankle Res  ·  Sept. 2026  ·  PMID 42689764</w:t>
      </w:r>
    </w:p>
    <w:p>
      <w:r>
        <w:t>Teilnehmende Aktionsforschung mit Patienten, Fachkräften und Forschern in Region Västra Götaland, Schweden; Concept Mapping zur Identifikation und Priorisierung von Verbesserungen in DFU-Prävention.</w:t>
      </w:r>
    </w:p>
    <w:p>
      <w:r>
        <w:rPr>
          <w:b/>
        </w:rPr>
        <w:t xml:space="preserve">Ergebnis: </w:t>
      </w:r>
      <w:r>
        <w:t>31 Teilnehmende generierten 83 Ideen, geclustert in 5 Gruppen; 3 priorisierte Verbesserungen (80% oder mehr Stimmen, Machbarkeit &gt; 5, Wichtigkeit &gt; 7): Zugang zu Podologie bei Problemen, schnelle Hilfe bei Problemen, Patienteninformation über Fußgesundheit.</w:t>
      </w:r>
    </w:p>
    <w:p>
      <w:r>
        <w:rPr>
          <w:b/>
          <w:sz w:val="19"/>
        </w:rPr>
        <w:t xml:space="preserve">Übertragbarkeit: </w:t>
      </w:r>
      <w:r>
        <w:rPr>
          <w:sz w:val="19"/>
        </w:rPr>
        <w:t>Schweden: skandinavisches Steuerfinanzierungs-System, Prozesse aber auf D übertragbar</w:t>
      </w:r>
    </w:p>
    <w:p>
      <w:r>
        <w:rPr>
          <w:color w:val="5A7D3A"/>
          <w:sz w:val="18"/>
        </w:rPr>
        <w:t>https://pubmed.ncbi.nlm.nih.gov/42689764/</w:t>
      </w:r>
    </w:p>
    <w:p>
      <w:pPr>
        <w:pStyle w:val="Heading2"/>
      </w:pPr>
      <w:r>
        <w:t>Risikofaktoren für prolongierte Hospitalisierung bei älteren Veterans mit Demenz</w:t>
      </w:r>
    </w:p>
    <w:p>
      <w:r>
        <w:rPr>
          <w:i/>
          <w:color w:val="666666"/>
          <w:sz w:val="18"/>
        </w:rPr>
        <w:t>Perfect CR et al.  ·  J Am Geriatr Soc  ·  02.09.2026  ·  PMID 42686639</w:t>
      </w:r>
    </w:p>
    <w:p>
      <w:r>
        <w:t>Sekundäranalyse einer randomisierten kontrollierten Studie bei 2.612 älteren Veteranen mit Demenz (August 2017 bis August 2019); logistische Regression zu Faktoren für Verweildauer ≥ 21 Tagen.</w:t>
      </w:r>
    </w:p>
    <w:p>
      <w:r>
        <w:rPr>
          <w:b/>
        </w:rPr>
        <w:t xml:space="preserve">Ergebnis: </w:t>
      </w:r>
      <w:r>
        <w:t>Soziale Vulnerabilität (OR 1,74; 95% CI 1,16–2,61), höhere chronische Erkrankungslast (OR 1,06 pro Punkt; 95% CI 1,01–1,10) und Delirium bei Aufnahme (OR 1,55; 95% CI 1,07–2,26) assoziiert mit prolongierter Hospitalisierung (n=138, 5,3% der Kohorte).</w:t>
      </w:r>
    </w:p>
    <w:p>
      <w:r>
        <w:rPr>
          <w:b/>
          <w:sz w:val="19"/>
        </w:rPr>
        <w:t xml:space="preserve">Übertragbarkeit: </w:t>
      </w:r>
      <w:r>
        <w:rPr>
          <w:sz w:val="19"/>
        </w:rPr>
        <w:t>US-Veteranen-Daten, aber Fragestellung zur Demenzverhältnisse systemunabhängig relevant</w:t>
      </w:r>
    </w:p>
    <w:p>
      <w:r>
        <w:rPr>
          <w:color w:val="5A7D3A"/>
          <w:sz w:val="18"/>
        </w:rPr>
        <w:t>https://pubmed.ncbi.nlm.nih.gov/42686639/</w:t>
      </w:r>
    </w:p>
    <w:p>
      <w:pPr>
        <w:pStyle w:val="Heading2"/>
      </w:pPr>
      <w:r>
        <w:t>Disparitäten in Patientenzufriedenheit VA vs. Gemeindeversorger nach Ethnizität</w:t>
      </w:r>
    </w:p>
    <w:p>
      <w:r>
        <w:rPr>
          <w:i/>
          <w:color w:val="666666"/>
          <w:sz w:val="18"/>
        </w:rPr>
        <w:t>Wong MS et al.  ·  Med Care  ·  02.09.2026  ·  PMID 42683682</w:t>
      </w:r>
    </w:p>
    <w:p>
      <w:r>
        <w:t>Vergleich von Rassendisparitäten in Patient-Reported-Experience-Measures zwischen VA-Primärversorgung und VA-finanzierter Community Care bei 2020-2023 befragten Veteranen.</w:t>
      </w:r>
    </w:p>
    <w:p>
      <w:r>
        <w:rPr>
          <w:b/>
        </w:rPr>
        <w:t xml:space="preserve">Ergebnis: </w:t>
      </w:r>
      <w:r>
        <w:t>Community Care zeigte größere Rassendisparitäten: Disparitäten bei Kommunikation für Black Veterans waren um 13 Prozentpunkte höher; Koordination der Versorgung um 22 (American Indian/Alaska Native), 12 (Black) und 16 Punkte (multiracial); Anbieter-Zufriedenheit für American Indian/Alaska Native 34 Punkte höher als in der VA.</w:t>
      </w:r>
    </w:p>
    <w:p>
      <w:r>
        <w:rPr>
          <w:b/>
          <w:sz w:val="19"/>
        </w:rPr>
        <w:t xml:space="preserve">Übertragbarkeit: </w:t>
      </w:r>
      <w:r>
        <w:rPr>
          <w:sz w:val="19"/>
        </w:rPr>
        <w:t>Begrenzt: US-Veteranen-Gesamtsystem, aber Findings zu Versorgungskoordination systemunabhängig relevant</w:t>
      </w:r>
    </w:p>
    <w:p>
      <w:r>
        <w:rPr>
          <w:color w:val="5A7D3A"/>
          <w:sz w:val="18"/>
        </w:rPr>
        <w:t>https://pubmed.ncbi.nlm.nih.gov/42683682/</w:t>
      </w:r>
    </w:p>
    <w:p>
      <w:pPr>
        <w:pStyle w:val="Heading2"/>
      </w:pPr>
      <w:r>
        <w:t>Nutzung und Selbstbeteiligungskosten autorisierten vs. unabhängigen Generika bei Medicare-Versicherten</w:t>
      </w:r>
    </w:p>
    <w:p>
      <w:r>
        <w:rPr>
          <w:i/>
          <w:color w:val="666666"/>
          <w:sz w:val="18"/>
        </w:rPr>
        <w:t>Arabshomali A et al.  ·  Health Serv Res  ·  Okt. 2026  ·  PMID 42682193</w:t>
      </w:r>
    </w:p>
    <w:p>
      <w:r>
        <w:t>Retrospektive Analyse von Medicare-Part-D-Daten (2012-2020) zum Vergleich der Out-of-Pocket-Kosten zwischen autorisierten und unabhängigen Generika.</w:t>
      </w:r>
    </w:p>
    <w:p>
      <w:r>
        <w:rPr>
          <w:b/>
        </w:rPr>
        <w:t xml:space="preserve">Ergebnis: </w:t>
      </w:r>
      <w:r>
        <w:t>Autorisierte Generika hatten konstant höhere Out-of-Pocket-Kosten: Median pro 30-Tage-Versorgung 3,19 USD vs. 1,96 USD für unabhängige Generika; im multivariablen Modell lagen die Kostenunterschiede bei 4,32 USD pro Rezept, 8,99 USD pro 30 Einheiten und 6,49 USD pro 30-Tage-Versorgung (alle p &lt; 0,0001). Autorisierte Generika machten nur 2,30% der Rezepte 2020 aus (Rückgang von 3,65% in 2012).</w:t>
      </w:r>
    </w:p>
    <w:p>
      <w:r>
        <w:rPr>
          <w:b/>
          <w:sz w:val="19"/>
        </w:rPr>
        <w:t xml:space="preserve">Übertragbarkeit: </w:t>
      </w:r>
      <w:r>
        <w:rPr>
          <w:sz w:val="19"/>
        </w:rPr>
        <w:t>Geringere Übertragbarkeit: US Medicare-Daten, fragmentiertes Versicherungssystem</w:t>
      </w:r>
    </w:p>
    <w:p>
      <w:r>
        <w:rPr>
          <w:color w:val="5A7D3A"/>
          <w:sz w:val="18"/>
        </w:rPr>
        <w:t>https://pubmed.ncbi.nlm.nih.gov/42682193/</w:t>
      </w:r>
    </w:p>
    <w:p>
      <w:pPr>
        <w:pStyle w:val="Heading1"/>
      </w:pPr>
      <w:r>
        <w:t>Aufgenommen am 03.09.2026</w:t>
      </w:r>
    </w:p>
    <w:p>
      <w:pPr>
        <w:pStyle w:val="Heading2"/>
      </w:pPr>
      <w:r>
        <w:t>Auswirkungen außervertraglicher Notfallkliniken auf folgende Spezialistennutzung</w:t>
      </w:r>
    </w:p>
    <w:p>
      <w:r>
        <w:rPr>
          <w:i/>
          <w:color w:val="666666"/>
          <w:sz w:val="18"/>
        </w:rPr>
        <w:t>Kuwonza FM et al.  ·  Health Serv Res  ·  Okt. 2026  ·  PMID 42683654</w:t>
      </w:r>
    </w:p>
    <w:p>
      <w:r>
        <w:t>Retrospektive Kohortenstudie zur Auswirkung von außervertraglichen Notfallkliniken auf nachfolgende Spezialistenversorgung bei US-Veteranen unter Verwendung von Instrumentalvariablen-Methoden.</w:t>
      </w:r>
    </w:p>
    <w:p>
      <w:r>
        <w:rPr>
          <w:b/>
        </w:rPr>
        <w:t xml:space="preserve">Ergebnis: </w:t>
      </w:r>
      <w:r>
        <w:t>Von 111.898 Veteranen hatten 90.651 (81%) Notfallversorgung in der Veterans Health Administration, 21.247 (19%) in nicht-VA-Kliniken. Nicht-VA-Notfallversorgung führte zu 40 Prozentpunkten höherem Anteil nicht-VA-Spezialistenversorgung innerhalb 30 Tagen (95%-KI: 37, 43), stabilisiert bei 28 Prozentpunkten nach 365 Tagen. Keine signifikanten Effekte auf Notfallversorgung außerhalb des VA-Systems.</w:t>
      </w:r>
    </w:p>
    <w:p>
      <w:r>
        <w:rPr>
          <w:b/>
          <w:sz w:val="19"/>
        </w:rPr>
        <w:t xml:space="preserve">Übertragbarkeit: </w:t>
      </w:r>
      <w:r>
        <w:rPr>
          <w:sz w:val="19"/>
        </w:rPr>
        <w:t>US-Daten - aber Fragestellung zur Care Coordination bei ausgelagerter Akutversorgung systemunabhängig relevant</w:t>
      </w:r>
    </w:p>
    <w:p>
      <w:r>
        <w:rPr>
          <w:color w:val="5A7D3A"/>
          <w:sz w:val="18"/>
        </w:rPr>
        <w:t>https://pubmed.ncbi.nlm.nih.gov/42683654/</w:t>
      </w:r>
    </w:p>
    <w:p>
      <w:pPr>
        <w:pStyle w:val="Heading2"/>
      </w:pPr>
      <w:r>
        <w:t>Patientenberichte zur Kontinuität von GLP-1-Rezeptoragonisten-Therapie</w:t>
      </w:r>
    </w:p>
    <w:p>
      <w:r>
        <w:rPr>
          <w:i/>
          <w:color w:val="666666"/>
          <w:sz w:val="18"/>
        </w:rPr>
        <w:t>Chen Y et al.  ·  Obes Sci Pract  ·  01.09.2026  ·  PMID 42683049</w:t>
      </w:r>
    </w:p>
    <w:p>
      <w:r>
        <w:t>Querschnittsstudie zu Patientenerfahrungen bei der GLP-1-Therapie mit Fokus auf Versorgungskontinuität und Barrieren im Behandlungsverlauf.</w:t>
      </w:r>
    </w:p>
    <w:p>
      <w:r>
        <w:rPr>
          <w:b/>
        </w:rPr>
        <w:t xml:space="preserve">Ergebnis: </w:t>
      </w:r>
      <w:r>
        <w:t>261 von 4.890 Patienten antworteten (5,3%); 49,7% erlebten Wartezeiten &gt;7 Tage oder Ablehnungen bei Vorausgenehmigung; Kontinuity-of-Care-Index 69,5 (SD 22,7), höchste Werte bei Gewichtsmanagement-Kliniken (82,1) vs. Hausarzt (60,7); 89,5% der Patienten wünschten sich integriertes Tracking.</w:t>
      </w:r>
    </w:p>
    <w:p>
      <w:r>
        <w:rPr>
          <w:b/>
          <w:sz w:val="19"/>
        </w:rPr>
        <w:t xml:space="preserve">Übertragbarkeit: </w:t>
      </w:r>
      <w:r>
        <w:rPr>
          <w:sz w:val="19"/>
        </w:rPr>
        <w:t>US-Daten, aber Versorgungsfragmentierung und Patientenperspektive systemunabhängig bedeutsam</w:t>
      </w:r>
    </w:p>
    <w:p>
      <w:r>
        <w:rPr>
          <w:color w:val="5A7D3A"/>
          <w:sz w:val="18"/>
        </w:rPr>
        <w:t>https://pubmed.ncbi.nlm.nih.gov/42683049/</w:t>
      </w:r>
    </w:p>
    <w:p>
      <w:pPr>
        <w:pStyle w:val="Heading2"/>
      </w:pPr>
      <w:r>
        <w:t>Schwangerschaftsausgaben und Nutzung postpartaler Versorgung bei kommerziell Versicherten</w:t>
      </w:r>
    </w:p>
    <w:p>
      <w:r>
        <w:rPr>
          <w:i/>
          <w:color w:val="666666"/>
          <w:sz w:val="18"/>
        </w:rPr>
        <w:t>Gourevitch RA et al.  ·  Health Serv Res  ·  Okt. 2026  ·  PMID 42682189</w:t>
      </w:r>
    </w:p>
    <w:p>
      <w:r>
        <w:t>Instrumentalvariablen-Analyse der Auswirkung von Zuzahlungen während Schwangerschaft und Geburt auf nachfolgende postpartale Versorgungsnutzung.</w:t>
      </w:r>
    </w:p>
    <w:p>
      <w:r>
        <w:rPr>
          <w:b/>
        </w:rPr>
        <w:t xml:space="preserve">Ergebnis: </w:t>
      </w:r>
      <w:r>
        <w:t>Frauen mit Geburt zu Jahresanfang vs. Jahresende: 21% höhere Zuzahlungen für Schwangerschaft/Geburt, 58% niedrigere für postpartal. 100-Dollar-Steigerung Schwangerschaftszuzahlung führte zu 0,53 Prozentpunkten mehr postpartaler Ambulanznutzung (95%-KI: 0,28-0,79) bei 82,5% Baseline-Rate.</w:t>
      </w:r>
    </w:p>
    <w:p>
      <w:r>
        <w:rPr>
          <w:b/>
          <w:sz w:val="19"/>
        </w:rPr>
        <w:t xml:space="preserve">Übertragbarkeit: </w:t>
      </w:r>
      <w:r>
        <w:rPr>
          <w:sz w:val="19"/>
        </w:rPr>
        <w:t>USA, aber Zuzahlungseffekt auf Inanspruchnahme systemunabhängig; Interpretation für deutsches System begrenzt</w:t>
      </w:r>
    </w:p>
    <w:p>
      <w:r>
        <w:rPr>
          <w:color w:val="5A7D3A"/>
          <w:sz w:val="18"/>
        </w:rPr>
        <w:t>https://pubmed.ncbi.nlm.nih.gov/42682189/</w:t>
      </w:r>
    </w:p>
    <w:p>
      <w:pPr>
        <w:pStyle w:val="Heading2"/>
      </w:pPr>
      <w:r>
        <w:t>Retention und Abgang von Heilpraktikern der Chinesischen Medizin in Australien</w:t>
      </w:r>
    </w:p>
    <w:p>
      <w:r>
        <w:rPr>
          <w:i/>
          <w:color w:val="666666"/>
          <w:sz w:val="18"/>
        </w:rPr>
        <w:t>Lathlean T et al.  ·  BMC Health Serv Res  ·  27.08.2026  ·  PMID 42681634</w:t>
      </w:r>
    </w:p>
    <w:p>
      <w:r>
        <w:t>Umfrage und registrierungsbasierte Analyse von Retentions- und Abgangsmustern bei Praktikern der Chinesischen Medizin in Australien 2014-2024.</w:t>
      </w:r>
    </w:p>
    <w:p>
      <w:r>
        <w:rPr>
          <w:b/>
        </w:rPr>
        <w:t xml:space="preserve">Ergebnis: </w:t>
      </w:r>
      <w:r>
        <w:t>79,4% der 1.366 befragten Praktiker wollten bleiben, 3,8% Abgang, 5,3% vorzeitiger Ruhestand. Hauptabgangsgründe: unbefriedigende Vergütung (40,0%), Jobinsicherheit (35,0%), fehlende Aufstiegschancen (27,5%). Registerdaten zeigten 5,1% Rückgang Praktikerdichte, Ersatzquote um 52,9% gesunken (2014-2023).</w:t>
      </w:r>
    </w:p>
    <w:p>
      <w:r>
        <w:rPr>
          <w:b/>
          <w:sz w:val="19"/>
        </w:rPr>
        <w:t xml:space="preserve">Übertragbarkeit: </w:t>
      </w:r>
      <w:r>
        <w:rPr>
          <w:sz w:val="19"/>
        </w:rPr>
        <w:t>Australien - Workforce-Retention generisch übertragbar, aber Spezifika australischer Regulierung begrenzen direkte Anwendbarkeit</w:t>
      </w:r>
    </w:p>
    <w:p>
      <w:r>
        <w:rPr>
          <w:color w:val="5A7D3A"/>
          <w:sz w:val="18"/>
        </w:rPr>
        <w:t>https://pubmed.ncbi.nlm.nih.gov/42681634/</w:t>
      </w:r>
    </w:p>
    <w:p>
      <w:pPr>
        <w:pStyle w:val="Heading2"/>
      </w:pPr>
      <w:r>
        <w:t>Patientenpräferenzen bei postoperativen Übungen nach Hüft- und Kniegelenksersatz</w:t>
      </w:r>
    </w:p>
    <w:p>
      <w:r>
        <w:rPr>
          <w:i/>
          <w:color w:val="666666"/>
          <w:sz w:val="18"/>
        </w:rPr>
        <w:t>Wang Y et al.  ·  BMC Health Serv Res  ·  25.07.2026  ·  PMID 42681632</w:t>
      </w:r>
    </w:p>
    <w:p>
      <w:r>
        <w:t>Discrete Choice Experiment mit 295 Patienten nach Hüft- oder Kniegelenksersatz zur Erfassung von Rehabilitationspräferenzen.</w:t>
      </w:r>
    </w:p>
    <w:p>
      <w:r>
        <w:rPr>
          <w:b/>
        </w:rPr>
        <w:t xml:space="preserve">Ergebnis: </w:t>
      </w:r>
      <w:r>
        <w:t>Schmerzintensität während Reha war wichtigster Einflussfaktor; Patienten bevorzugten milde/moderate Schmerzen (OR: 2,41 bzw. 3,84 vs. schwer). Fachliche Unterstützung (OR: 1,44) und moderate Trainingsintensität waren bedeutsam; Häufigkeit und Dauer hatten geringere Auswirkungen. Konsistente Muster über Geschlecht und Alter.</w:t>
      </w:r>
    </w:p>
    <w:p>
      <w:r>
        <w:rPr>
          <w:b/>
          <w:sz w:val="19"/>
        </w:rPr>
        <w:t xml:space="preserve">Übertragbarkeit: </w:t>
      </w:r>
      <w:r>
        <w:rPr>
          <w:sz w:val="19"/>
        </w:rPr>
        <w:t>China, aber Erhebung patientenzentrierter Rehabilitationspräferenzen methodisch und inhaltlich übertragbar</w:t>
      </w:r>
    </w:p>
    <w:p>
      <w:r>
        <w:rPr>
          <w:color w:val="5A7D3A"/>
          <w:sz w:val="18"/>
        </w:rPr>
        <w:t>https://pubmed.ncbi.nlm.nih.gov/42681632/</w:t>
      </w:r>
    </w:p>
    <w:p>
      <w:pPr>
        <w:pStyle w:val="Heading2"/>
      </w:pPr>
      <w:r>
        <w:t>Nurse-led Intervention gegen sprachliche Migrationsbarrieren in der Krebsbetreuung</w:t>
      </w:r>
    </w:p>
    <w:p>
      <w:r>
        <w:rPr>
          <w:i/>
          <w:color w:val="666666"/>
          <w:sz w:val="18"/>
        </w:rPr>
        <w:t>Höckelmann C et al.  ·  BMJ Open  ·  01.09.2026  ·  PMID 42680490</w:t>
      </w:r>
    </w:p>
    <w:p>
      <w:r>
        <w:t>Protokoll für kontrollierte vorher-nachher Studie mit prozess- und ökonomischer Evaluation einer pflege-geführten Komplexintervention (Informationen, Telefoninterpreter, mehrsprachige Materialien) für Krebspatienten mit Migrationshintergrund.</w:t>
      </w:r>
    </w:p>
    <w:p>
      <w:r>
        <w:rPr>
          <w:b/>
        </w:rPr>
        <w:t xml:space="preserve">Ergebnis: </w:t>
      </w:r>
      <w:r>
        <w:t>Geplant: 126 Teilnehmer (84 Intervention, 42 Kontrolle). Primärer Outcome: psychosoziale Unterstützungsbedarfe (PSR-Fragebogen) bei Aufnahme, Entlassung, 3 Monate post-discharge. Sekundär: Wissensstand, Lebensqualität, Angst, Zufriedenheit. Powered: d=0,5, 80%, einseitig α=5%.</w:t>
      </w:r>
    </w:p>
    <w:p>
      <w:r>
        <w:rPr>
          <w:b/>
          <w:sz w:val="19"/>
        </w:rPr>
        <w:t xml:space="preserve">Übertragbarkeit: </w:t>
      </w:r>
      <w:r>
        <w:rPr>
          <w:sz w:val="19"/>
        </w:rPr>
        <w:t>Deutschland - Migrationshintergrund (30,4% Bevölkerung), onkologische Versorgung, Sprachbarrieren hochrelevant für deutsches System</w:t>
      </w:r>
    </w:p>
    <w:p>
      <w:r>
        <w:rPr>
          <w:color w:val="5A7D3A"/>
          <w:sz w:val="18"/>
        </w:rPr>
        <w:t>https://pubmed.ncbi.nlm.nih.gov/42680490/</w:t>
      </w:r>
    </w:p>
    <w:p>
      <w:pPr>
        <w:pStyle w:val="Heading2"/>
      </w:pPr>
      <w:r>
        <w:t>Drohnen im Gesundheitswesen sub-Sahara-Afrikas: Rapid Scoping Review</w:t>
      </w:r>
    </w:p>
    <w:p>
      <w:r>
        <w:rPr>
          <w:i/>
          <w:color w:val="666666"/>
          <w:sz w:val="18"/>
        </w:rPr>
        <w:t>Adjei-Banuah NY et al.  ·  Glob Health Action  ·  01.09.2026  ·  PMID 42676300</w:t>
      </w:r>
    </w:p>
    <w:p>
      <w:r>
        <w:t>Rapid Scoping Review zur aktuellen und potenziellen Nutzung von Drohnen für Gesundheitsversorgung in 12 sub-saharischen Ländern (Fokus Ghana).</w:t>
      </w:r>
    </w:p>
    <w:p>
      <w:r>
        <w:rPr>
          <w:b/>
        </w:rPr>
        <w:t xml:space="preserve">Ergebnis: </w:t>
      </w:r>
      <w:r>
        <w:t>29 Arbeiten eingeschlossen. Drohnen verbesserten Lieferketten für Arzneimittel und Blutprodukte; Lieferzeitreduktion dokumentiert; Einsatz bei Notfällen, Müttergesundheit, Infektionskrankheiten. Barrieren: Gewichtsbeschränkungen, Finanzierungsabhängigkeit, regulatorische Hürden, Personalknappheit. Skalierungspotenzial für Nicht-Infektionskrankheiten vorhanden.</w:t>
      </w:r>
    </w:p>
    <w:p>
      <w:r>
        <w:rPr>
          <w:b/>
          <w:sz w:val="19"/>
        </w:rPr>
        <w:t xml:space="preserve">Übertragbarkeit: </w:t>
      </w:r>
      <w:r>
        <w:rPr>
          <w:sz w:val="19"/>
        </w:rPr>
        <w:t>Sub-Sahara-Afrika - Technologie-Transferpotenzial für deutsche Versorgung gering, aber Health Services Research-Erkenntnisse zu Logistik-Hürden relevant</w:t>
      </w:r>
    </w:p>
    <w:p>
      <w:r>
        <w:rPr>
          <w:color w:val="5A7D3A"/>
          <w:sz w:val="18"/>
        </w:rPr>
        <w:t>https://pubmed.ncbi.nlm.nih.gov/42676300/</w:t>
      </w:r>
    </w:p>
    <w:p>
      <w:pPr>
        <w:pStyle w:val="Heading1"/>
      </w:pPr>
      <w:r>
        <w:t>Aufgenommen am 02.09.2026</w:t>
      </w:r>
    </w:p>
    <w:p>
      <w:pPr>
        <w:pStyle w:val="Heading2"/>
      </w:pPr>
      <w:r>
        <w:t>Das oregis-IVOM-Register: Systematische Real-World-Datenerfassung zur IVOM-Versorgung in Deutschland</w:t>
      </w:r>
    </w:p>
    <w:p>
      <w:r>
        <w:rPr>
          <w:i/>
          <w:color w:val="666666"/>
          <w:sz w:val="18"/>
        </w:rPr>
        <w:t>Piszár I et al.  ·  Ophthalmologie  ·  01.09.2026  ·  PMID 42678546</w:t>
      </w:r>
    </w:p>
    <w:p>
      <w:r>
        <w:t>Prospektive Registerstudie zur systematischen Erfassung von Daten zu Intravitrealen Operativen Medikamenteneingaben (IVOM) bei Makulaerkrankungen im klinischen Alltag in Deutschland.</w:t>
      </w:r>
    </w:p>
    <w:p>
      <w:r>
        <w:rPr>
          <w:b/>
        </w:rPr>
        <w:t xml:space="preserve">Ergebnis: </w:t>
      </w:r>
      <w:r>
        <w:t>Das Register erfasst erstmals national standardisierte Real-World-Daten zu IVOM-Therapieverläufen bei nAMD, DMÖ, RVV und CNV und schließt eine wichtige Wissenslücke in der deutschen IVOM-Versorgungsforschung durch prospektive Datenerfassung mittels REDCap-Datenbank.</w:t>
      </w:r>
    </w:p>
    <w:p>
      <w:r>
        <w:rPr>
          <w:b/>
          <w:sz w:val="19"/>
        </w:rPr>
        <w:t xml:space="preserve">Übertragbarkeit: </w:t>
      </w:r>
      <w:r>
        <w:rPr>
          <w:sz w:val="19"/>
        </w:rPr>
        <w:t>Deutschland, prospektive Real-World-Daten, nationale Registerstudie zu Versorgungsrealität</w:t>
      </w:r>
    </w:p>
    <w:p>
      <w:r>
        <w:rPr>
          <w:color w:val="5A7D3A"/>
          <w:sz w:val="18"/>
        </w:rPr>
        <w:t>https://pubmed.ncbi.nlm.nih.gov/42678546/</w:t>
      </w:r>
    </w:p>
    <w:p>
      <w:pPr>
        <w:pStyle w:val="Heading2"/>
      </w:pPr>
      <w:r>
        <w:t>Pharmacogenetic-Drug-Dispensing bei kardiovaskulären Erkrankungen in der Nördlichen Niederlande</w:t>
      </w:r>
    </w:p>
    <w:p>
      <w:r>
        <w:rPr>
          <w:i/>
          <w:color w:val="666666"/>
          <w:sz w:val="18"/>
        </w:rPr>
        <w:t>Zhang Z et al.  ·  Clin Pharmacol Ther  ·  01.09.2026  ·  PMID 42677489</w:t>
      </w:r>
    </w:p>
    <w:p>
      <w:r>
        <w:t>Serienquerschnittstudie zur Prävalenz und jährlichen Initiierungsrate von Arzneimitteln mit pharmakokinetischen Gen-Wechselwirkungen bei erwachsenen Patienten mit Herz-Kreislauf-Erkrankungen.</w:t>
      </w:r>
    </w:p>
    <w:p>
      <w:r>
        <w:rPr>
          <w:b/>
        </w:rPr>
        <w:t xml:space="preserve">Ergebnis: </w:t>
      </w:r>
      <w:r>
        <w:t>Die Prävalenz mindestens eines Pharmacogenetic-Drugs lag bei ~90 % und mehrerer bei ~68 %, stabil über 5 Jahre (2019–2023). CYP2C19-, CYP2D6- und SLCO1B1-assoziierte Arzneimittel bei 60 %, 53 % bzw. 51 % der Patienten; 24–66 % hätten Möglichkeiten zur Wiederverwendung von Testergebnissen.</w:t>
      </w:r>
    </w:p>
    <w:p>
      <w:r>
        <w:rPr>
          <w:b/>
          <w:sz w:val="19"/>
        </w:rPr>
        <w:t xml:space="preserve">Übertragbarkeit: </w:t>
      </w:r>
      <w:r>
        <w:rPr>
          <w:sz w:val="19"/>
        </w:rPr>
        <w:t>Niederlande, Sozialversicherungssystem, vergleichbare Versorgungsstruktur mit Deutschland</w:t>
      </w:r>
    </w:p>
    <w:p>
      <w:r>
        <w:rPr>
          <w:color w:val="5A7D3A"/>
          <w:sz w:val="18"/>
        </w:rPr>
        <w:t>https://pubmed.ncbi.nlm.nih.gov/42677489/</w:t>
      </w:r>
    </w:p>
    <w:p>
      <w:pPr>
        <w:pStyle w:val="Heading2"/>
      </w:pPr>
      <w:r>
        <w:t>Familienperspektive auf multidisziplinäre Nachbarschaftsteams für Kinder im UK: Qualitative Akzeptanzanalyse</w:t>
      </w:r>
    </w:p>
    <w:p>
      <w:r>
        <w:rPr>
          <w:i/>
          <w:color w:val="666666"/>
          <w:sz w:val="18"/>
        </w:rPr>
        <w:t>Litchfield I et al.  ·  Front Pediatr  ·  17.08.2026  ·  PMID 42676754</w:t>
      </w:r>
    </w:p>
    <w:p>
      <w:r>
        <w:t>Qualitative Fokusgruppenstudie zur Akzeptabilität eines frühen Beispiels von Neighbourhood Multidisciplinary Teams (NMDT) für Kinder und Jugendliche in Birmingham.</w:t>
      </w:r>
    </w:p>
    <w:p>
      <w:r>
        <w:rPr>
          <w:b/>
        </w:rPr>
        <w:t xml:space="preserve">Ergebnis: </w:t>
      </w:r>
      <w:r>
        <w:t>8 Eltern berichteten starke Zustimmung zu kollokaler Multidisziplinarität gegenüber Regelversorgung; wichtig waren lokale Erreichbarkeit, personalisierte Beziehungen und erweiterte Konsultationszeiten (Burden, Cultural sensitivity, Perceived effectiveness); Unsicherheiten zur genauen Organisationszugehörigkeit.</w:t>
      </w:r>
    </w:p>
    <w:p>
      <w:r>
        <w:rPr>
          <w:b/>
          <w:sz w:val="19"/>
        </w:rPr>
        <w:t xml:space="preserve">Übertragbarkeit: </w:t>
      </w:r>
      <w:r>
        <w:rPr>
          <w:sz w:val="19"/>
        </w:rPr>
        <w:t>UK-System, steuerfinanziert, qualitative Erkenntnisse zu integrierter Versorgung prinzipiell übertragbar</w:t>
      </w:r>
    </w:p>
    <w:p>
      <w:r>
        <w:rPr>
          <w:color w:val="5A7D3A"/>
          <w:sz w:val="18"/>
        </w:rPr>
        <w:t>https://pubmed.ncbi.nlm.nih.gov/42676754/</w:t>
      </w:r>
    </w:p>
    <w:p>
      <w:pPr>
        <w:pStyle w:val="Heading2"/>
      </w:pPr>
      <w:r>
        <w:t>Lean-basiertes Digital-Twin-Modell für Krankenhausnetzwerk-Planung</w:t>
      </w:r>
    </w:p>
    <w:p>
      <w:r>
        <w:rPr>
          <w:i/>
          <w:color w:val="666666"/>
          <w:sz w:val="18"/>
        </w:rPr>
        <w:t>Salabert Carreras J et al.  ·  BMC Health Serv Res  ·  12.08.2026  ·  PMID 42675496</w:t>
      </w:r>
    </w:p>
    <w:p>
      <w:r>
        <w:t>Aktionsforschung zur Entwicklung eines konzeptionellen Digital-Twin-Modells, das Lean-Prinzipien mit Versorgungsplanung auf Netzwerk-Ebene in Krankenhaussystemen verbindet.</w:t>
      </w:r>
    </w:p>
    <w:p>
      <w:r>
        <w:rPr>
          <w:b/>
        </w:rPr>
        <w:t xml:space="preserve">Ergebnis: </w:t>
      </w:r>
      <w:r>
        <w:t>Vier-Schicht-Architektur mit Standardisierung von Kernelementen (Nachfrage, Aktivität, Kapazität, Performance), Szenarien-Analyse für taktische Verträge und Bottleneck-Erkennung; Expert-Review mit CEOs und Medical Directors (&gt;20 Jahre Erfahrung) validierte Strukturintegrität.</w:t>
      </w:r>
    </w:p>
    <w:p>
      <w:r>
        <w:rPr>
          <w:b/>
          <w:sz w:val="19"/>
        </w:rPr>
        <w:t xml:space="preserve">Übertragbarkeit: </w:t>
      </w:r>
      <w:r>
        <w:rPr>
          <w:sz w:val="19"/>
        </w:rPr>
        <w:t>Spanien, multinationale Strukturprinzipien; Design-Architektur prinzipiell auf deutsches Netzwerk-Management übertragbar</w:t>
      </w:r>
    </w:p>
    <w:p>
      <w:r>
        <w:rPr>
          <w:color w:val="5A7D3A"/>
          <w:sz w:val="18"/>
        </w:rPr>
        <w:t>https://pubmed.ncbi.nlm.nih.gov/42675496/</w:t>
      </w:r>
    </w:p>
    <w:p>
      <w:pPr>
        <w:pStyle w:val="Heading2"/>
      </w:pPr>
      <w:r>
        <w:t>Patient Journey Map für diabetische Retinopathie: Synthese qualitativer Evidenz</w:t>
      </w:r>
    </w:p>
    <w:p>
      <w:r>
        <w:rPr>
          <w:i/>
          <w:color w:val="666666"/>
          <w:sz w:val="18"/>
        </w:rPr>
        <w:t>Wang N et al.  ·  BMC Health Serv Res  ·  28.08.2026  ·  PMID 42675492</w:t>
      </w:r>
    </w:p>
    <w:p>
      <w:r>
        <w:t>Zweigeteilte qualitative Evidenzsynthese (narrative Literaturübersicht mit systematischem Suchschema + 13 Semi-strukturierte Interviews mit DR-Patienten) zur Entwicklung einer integrierten Patient Journey Map.</w:t>
      </w:r>
    </w:p>
    <w:p>
      <w:r>
        <w:rPr>
          <w:b/>
        </w:rPr>
        <w:t xml:space="preserve">Ergebnis: </w:t>
      </w:r>
      <w:r>
        <w:t>25 Studien und 13 Interviews bildeten Phasen-Framework (Screening, perioperativ, Post-Akut-Versorgung); Patient Journey Map zeigt Erfahrungen, Emotionen und Bedarfe über den Versorgungsverlauf; etabliert theoretische Grundlage für individualisierte Diabetesbetreuung.</w:t>
      </w:r>
    </w:p>
    <w:p>
      <w:r>
        <w:rPr>
          <w:b/>
          <w:sz w:val="19"/>
        </w:rPr>
        <w:t xml:space="preserve">Übertragbarkeit: </w:t>
      </w:r>
      <w:r>
        <w:rPr>
          <w:sz w:val="19"/>
        </w:rPr>
        <w:t>China (Stichprobe), qualitatives Design systemunabhängig zur Abbildung von Patientenerleben relevant</w:t>
      </w:r>
    </w:p>
    <w:p>
      <w:r>
        <w:rPr>
          <w:color w:val="5A7D3A"/>
          <w:sz w:val="18"/>
        </w:rPr>
        <w:t>https://pubmed.ncbi.nlm.nih.gov/42675492/</w:t>
      </w:r>
    </w:p>
    <w:p>
      <w:pPr>
        <w:pStyle w:val="Heading2"/>
      </w:pPr>
      <w:r>
        <w:t>Scale-up-Frameworks: Systemische Analyse von Treibern und Rückkopplungsschleifen</w:t>
      </w:r>
    </w:p>
    <w:p>
      <w:r>
        <w:rPr>
          <w:i/>
          <w:color w:val="666666"/>
          <w:sz w:val="18"/>
        </w:rPr>
        <w:t>Hooley C et al.  ·  BMC Health Serv Res  ·  24.07.2026  ·  PMID 42675488</w:t>
      </w:r>
    </w:p>
    <w:p>
      <w:r>
        <w:t>Scoping Review mit Systemdenken-Synthese zur Konsolidierung von Scale-up-Determinanten aus 40 ausgewählten Artikeln und Erstellung eines Causal-Loop-Diagrams.</w:t>
      </w:r>
    </w:p>
    <w:p>
      <w:r>
        <w:rPr>
          <w:b/>
        </w:rPr>
        <w:t xml:space="preserve">Ergebnis: </w:t>
      </w:r>
      <w:r>
        <w:t>1053 ursprüngliche Determinanten reduziert auf 25 Modell-Variablen; 6 verstärkende und 3 ausgleichende Rückkopplungsschleifen identifiziert; Motivation, Kapazität, Enabling Environment und Alignment als prominenteste Faktoren.</w:t>
      </w:r>
    </w:p>
    <w:p>
      <w:r>
        <w:rPr>
          <w:b/>
          <w:sz w:val="19"/>
        </w:rPr>
        <w:t xml:space="preserve">Übertragbarkeit: </w:t>
      </w:r>
      <w:r>
        <w:rPr>
          <w:sz w:val="19"/>
        </w:rPr>
        <w:t>Konzeptuelle Rahmensynthese systemunabhängig für Scale-up-Prozesse im Gesundheitswesen relevant</w:t>
      </w:r>
    </w:p>
    <w:p>
      <w:r>
        <w:rPr>
          <w:color w:val="5A7D3A"/>
          <w:sz w:val="18"/>
        </w:rPr>
        <w:t>https://pubmed.ncbi.nlm.nih.gov/42675488/</w:t>
      </w:r>
    </w:p>
    <w:p>
      <w:pPr>
        <w:pStyle w:val="Heading1"/>
      </w:pPr>
      <w:r>
        <w:t>Aufgenommen am 01.09.2026</w:t>
      </w:r>
    </w:p>
    <w:p>
      <w:pPr>
        <w:pStyle w:val="Heading2"/>
      </w:pPr>
      <w:r>
        <w:t>NEED-Methodologie für Versorgungsbedarfe bei psychotischen Störungen in Belgien</w:t>
      </w:r>
    </w:p>
    <w:p>
      <w:r>
        <w:rPr>
          <w:i/>
          <w:color w:val="666666"/>
          <w:sz w:val="18"/>
        </w:rPr>
        <w:t>Claessens Z et al.  ·  Health Expect  ·  Okt. 2026  ·  PMID 42670826</w:t>
      </w:r>
    </w:p>
    <w:p>
      <w:r>
        <w:t>Methodische Anpassung des NEED-Frameworks (Needs Examination, Evaluation and Dissemination) für Bedarfsermittlung bei psychotischen Störungen durch qualitative Forschung und Expert*innenbeteiligung.</w:t>
      </w:r>
    </w:p>
    <w:p>
      <w:r>
        <w:rPr>
          <w:b/>
        </w:rPr>
        <w:t xml:space="preserve">Ergebnis: </w:t>
      </w:r>
      <w:r>
        <w:t>Drei interdependente Bereiche identifiziert: Stigma erschwert Selbstidentifikation, begrenzte Krankheitseinsicht und Misstrauen behindern Partizipation. Adaptationen: erweiterte Einschlusskriterien, nicht-stigmatisierende Terminologie, Proxy-Completion ermöglicht, On-site-Unterstützung notwendig.</w:t>
      </w:r>
    </w:p>
    <w:p>
      <w:r>
        <w:rPr>
          <w:b/>
          <w:sz w:val="19"/>
        </w:rPr>
        <w:t xml:space="preserve">Übertragbarkeit: </w:t>
      </w:r>
      <w:r>
        <w:rPr>
          <w:sz w:val="19"/>
        </w:rPr>
        <w:t>Belgien, Sozialversicherungssystem; hohe Übertragbarkeit auf deutschsprachige Länder</w:t>
      </w:r>
    </w:p>
    <w:p>
      <w:r>
        <w:rPr>
          <w:color w:val="5A7D3A"/>
          <w:sz w:val="18"/>
        </w:rPr>
        <w:t>https://pubmed.ncbi.nlm.nih.gov/42670826/</w:t>
      </w:r>
    </w:p>
    <w:p>
      <w:pPr>
        <w:pStyle w:val="Heading2"/>
      </w:pPr>
      <w:r>
        <w:t>Herz-Insuffizienz-Versorgung in der US-Veteranen-Administration während COVID-19</w:t>
      </w:r>
    </w:p>
    <w:p>
      <w:r>
        <w:rPr>
          <w:i/>
          <w:color w:val="666666"/>
          <w:sz w:val="18"/>
        </w:rPr>
        <w:t>Brownell NK et al.  ·  Circ Heart Fail  ·  31.08.2026  ·  PMID 42670712</w:t>
      </w:r>
    </w:p>
    <w:p>
      <w:r>
        <w:t>Untersucht Trends in der Herzinsuffizienz-Behandlung und Ergebnissen bei Veteranen über 6 Jahre inklusive Pandemie-Phase mittels unterbrochener Zeitreihenanalyse.</w:t>
      </w:r>
    </w:p>
    <w:p>
      <w:r>
        <w:rPr>
          <w:b/>
        </w:rPr>
        <w:t xml:space="preserve">Ergebnis: </w:t>
      </w:r>
      <w:r>
        <w:t>Verordnungen für Herzinsuffizienz-Medikamente wurden beibehalten oder verbessert (0,1–0,9 Prozentpunkte Anstieg pro 6-Wochen-Periode in der späten COVID-Phase). Telemedizin-Nutzung stieg 2–4-fach, stationäre Aufnahmen sanken um 31 %, Mortalität stieg jedoch um 13 % bei Pandemie-Beginn.</w:t>
      </w:r>
    </w:p>
    <w:p>
      <w:r>
        <w:rPr>
          <w:b/>
          <w:sz w:val="19"/>
        </w:rPr>
        <w:t xml:space="preserve">Übertragbarkeit: </w:t>
      </w:r>
      <w:r>
        <w:rPr>
          <w:sz w:val="19"/>
        </w:rPr>
        <w:t>US-System; klinische Prozessveränderungen teilweise übertragbar</w:t>
      </w:r>
    </w:p>
    <w:p>
      <w:r>
        <w:rPr>
          <w:color w:val="5A7D3A"/>
          <w:sz w:val="18"/>
        </w:rPr>
        <w:t>https://pubmed.ncbi.nlm.nih.gov/42670712/</w:t>
      </w:r>
    </w:p>
    <w:p>
      <w:pPr>
        <w:pStyle w:val="Heading2"/>
      </w:pPr>
      <w:r>
        <w:t>Laparoskopische Leberresektion bei intrahepatischem Cholangiokarinom in Japan</w:t>
      </w:r>
    </w:p>
    <w:p>
      <w:r>
        <w:rPr>
          <w:i/>
          <w:color w:val="666666"/>
          <w:sz w:val="18"/>
        </w:rPr>
        <w:t>Kokudo T et al.  ·  Glob Health Med  ·  31.08.2026  ·  PMID 42670510</w:t>
      </w:r>
    </w:p>
    <w:p>
      <w:r>
        <w:t>Nationale Beobachtungsstudie zur Entwicklung minimal-invasiver Chirurgie bei intrahepatischem Cholangiokarinom basierend auf japanischer Krankenversicherungsdatenbank 2016–2020.</w:t>
      </w:r>
    </w:p>
    <w:p>
      <w:r>
        <w:rPr>
          <w:b/>
        </w:rPr>
        <w:t xml:space="preserve">Ergebnis: </w:t>
      </w:r>
      <w:r>
        <w:t>Fallzahlen stabil (1119–1213 Patienten/Jahr), offene Resektionen konstant (~750/Jahr), laparoskopische Resektionen stiegen von 84 (2016) auf 195 (2020). Mediane postoperative Überlebensdauer: 5,25 Jahre offen vs. nicht erreicht laparoskopisch.</w:t>
      </w:r>
    </w:p>
    <w:p>
      <w:r>
        <w:rPr>
          <w:b/>
          <w:sz w:val="19"/>
        </w:rPr>
        <w:t xml:space="preserve">Übertragbarkeit: </w:t>
      </w:r>
      <w:r>
        <w:rPr>
          <w:sz w:val="19"/>
        </w:rPr>
        <w:t>Japan, nationale Routinedaten; Versorgungstrends mit Methodenvalidierung übertragbar</w:t>
      </w:r>
    </w:p>
    <w:p>
      <w:r>
        <w:rPr>
          <w:color w:val="5A7D3A"/>
          <w:sz w:val="18"/>
        </w:rPr>
        <w:t>https://pubmed.ncbi.nlm.nih.gov/42670510/</w:t>
      </w:r>
    </w:p>
    <w:p>
      <w:pPr>
        <w:pStyle w:val="Heading2"/>
      </w:pPr>
      <w:r>
        <w:t>Wirtschaftliche Last der Parkinson-Krankheit in Europa</w:t>
      </w:r>
    </w:p>
    <w:p>
      <w:r>
        <w:rPr>
          <w:i/>
          <w:color w:val="666666"/>
          <w:sz w:val="18"/>
        </w:rPr>
        <w:t>Welter L et al.  ·  Mov Disord  ·  27.08.2026  ·  PMID 42659761</w:t>
      </w:r>
    </w:p>
    <w:p>
      <w:r>
        <w:t>Cost-of-Illness-Studie für Parkinson-Erkrankung in 47 europäischen Ländern mittels Prävalenzdaten und systematischem Review von Kostenstudien.</w:t>
      </w:r>
    </w:p>
    <w:p>
      <w:r>
        <w:rPr>
          <w:b/>
        </w:rPr>
        <w:t xml:space="preserve">Ergebnis: </w:t>
      </w:r>
      <w:r>
        <w:t>Gesamtkosten 2019: 22,8 Mrd. €, davon 17,3 Mrd. € (76 %) direkte Kosten, 1 Mrd. € (5 %) indirekte Kosten, 4,4 Mrd. € (19 %) informelle Pflegekosten. Mittlere Kosten pro Patient: 14.278 € (Median: 8.393 €).</w:t>
      </w:r>
    </w:p>
    <w:p>
      <w:r>
        <w:rPr>
          <w:b/>
          <w:sz w:val="19"/>
        </w:rPr>
        <w:t xml:space="preserve">Übertragbarkeit: </w:t>
      </w:r>
      <w:r>
        <w:rPr>
          <w:sz w:val="19"/>
        </w:rPr>
        <w:t>Europäische Länder; strukturelle Übertragbarkeit auf deutsches System</w:t>
      </w:r>
    </w:p>
    <w:p>
      <w:r>
        <w:rPr>
          <w:color w:val="5A7D3A"/>
          <w:sz w:val="18"/>
        </w:rPr>
        <w:t>https://pubmed.ncbi.nlm.nih.gov/42659761/</w:t>
      </w:r>
    </w:p>
    <w:p>
      <w:pPr>
        <w:pStyle w:val="Heading2"/>
      </w:pPr>
      <w:r>
        <w:t>Surveillance-Kolonoskopie-Intervalle in australischen Spitälern</w:t>
      </w:r>
    </w:p>
    <w:p>
      <w:r>
        <w:rPr>
          <w:i/>
          <w:color w:val="666666"/>
          <w:sz w:val="18"/>
        </w:rPr>
        <w:t>Foo J et al.  ·  Aust Health Rev  ·  03.09.2026  ·  PMID 42656090</w:t>
      </w:r>
    </w:p>
    <w:p>
      <w:r>
        <w:t>Audit von 248 Kolonoskopie-Fällen in 6 viktorianischen Spitälern zur Überprüfung der Guideline-Konformität bei Surveillance-Intervallen nach 2018 Australian Cancer Council Richtlinien.</w:t>
      </w:r>
    </w:p>
    <w:p>
      <w:r>
        <w:rPr>
          <w:b/>
        </w:rPr>
        <w:t xml:space="preserve">Ergebnis: </w:t>
      </w:r>
      <w:r>
        <w:t>Nur 25,4 % (63/248) der Empfehlungen waren guideline-konform; 74,6 % waren zu früh, 20,5 % nicht indiziert, 4,9 % zu spät. Konformität variierte nach Intervall-Kategorie: 66,7 % (≤12 Mon.), 31,0 % (3 J.), 58,3 % (5 J.), 0,0 % (10 J.).</w:t>
      </w:r>
    </w:p>
    <w:p>
      <w:r>
        <w:rPr>
          <w:b/>
          <w:sz w:val="19"/>
        </w:rPr>
        <w:t xml:space="preserve">Übertragbarkeit: </w:t>
      </w:r>
      <w:r>
        <w:rPr>
          <w:sz w:val="19"/>
        </w:rPr>
        <w:t>Australien; Implementierungsgap systemunabhängig relevant</w:t>
      </w:r>
    </w:p>
    <w:p>
      <w:r>
        <w:rPr>
          <w:color w:val="5A7D3A"/>
          <w:sz w:val="18"/>
        </w:rPr>
        <w:t>https://pubmed.ncbi.nlm.nih.gov/42656090/</w:t>
      </w:r>
    </w:p>
    <w:p>
      <w:pPr>
        <w:pStyle w:val="Heading2"/>
      </w:pPr>
      <w:r>
        <w:t>Unsicherheit beim wissenschaftlichen Deliberationsprozess während COVID-19</w:t>
      </w:r>
    </w:p>
    <w:p>
      <w:r>
        <w:rPr>
          <w:i/>
          <w:color w:val="666666"/>
          <w:sz w:val="18"/>
        </w:rPr>
        <w:t>Correia T et al.  ·  Eur J Public Health  ·  04.08.2026  ·  PMID 42647368</w:t>
      </w:r>
    </w:p>
    <w:p>
      <w:r>
        <w:t>Policy-Analyse zum Verhältnis zwischen Transparenz von wissenschaftlichen Entscheidungsprozessen und dem Schutz wissenschaftlicher Deliberation am Beispiel der Fauci-Tagebuch-Veröffentlichung.</w:t>
      </w:r>
    </w:p>
    <w:p>
      <w:r>
        <w:rPr>
          <w:b/>
        </w:rPr>
        <w:t xml:space="preserve">Ergebnis: </w:t>
      </w:r>
      <w:r>
        <w:t>Kernaussage: Offenlegung interne wissenschaftliche Diskussionen kann legitimes Vertrauen in institutionelle Autorität untergraben, wenn Unsicherheiten und Widersprüche bei der Entscheidungsfindung nicht angemessen kontextualisiert werden.</w:t>
      </w:r>
    </w:p>
    <w:p>
      <w:r>
        <w:rPr>
          <w:b/>
          <w:sz w:val="19"/>
        </w:rPr>
        <w:t xml:space="preserve">Übertragbarkeit: </w:t>
      </w:r>
      <w:r>
        <w:rPr>
          <w:sz w:val="19"/>
        </w:rPr>
        <w:t>Systemübergreifende Governance-Frage; relevant für deutsche Public-Health-Entscheidungen</w:t>
      </w:r>
    </w:p>
    <w:p>
      <w:r>
        <w:rPr>
          <w:color w:val="5A7D3A"/>
          <w:sz w:val="18"/>
        </w:rPr>
        <w:t>https://pubmed.ncbi.nlm.nih.gov/42647368/</w:t>
      </w:r>
    </w:p>
    <w:p>
      <w:pPr>
        <w:pStyle w:val="Heading1"/>
      </w:pPr>
      <w:r>
        <w:t>Aufgenommen am 31.08.2026</w:t>
      </w:r>
    </w:p>
    <w:p>
      <w:pPr>
        <w:pStyle w:val="Heading2"/>
      </w:pPr>
      <w:r>
        <w:t>Symptombelastung nach Dialysebeginn und Hospitalisierungsrisiko</w:t>
      </w:r>
    </w:p>
    <w:p>
      <w:r>
        <w:rPr>
          <w:i/>
          <w:color w:val="666666"/>
          <w:sz w:val="18"/>
        </w:rPr>
        <w:t>Nair D et al.  ·  Kidney Med  ·  23.06.2026  ·  PMID 42668553</w:t>
      </w:r>
    </w:p>
    <w:p>
      <w:r>
        <w:t>Längsschnittstudie zur Assoziation zwischen Symptombelastung (KDQOL-36) und Krankenhausaufnahmen bei Hämodialysepatienten in den USA.</w:t>
      </w:r>
    </w:p>
    <w:p>
      <w:r>
        <w:rPr>
          <w:b/>
        </w:rPr>
        <w:t xml:space="preserve">Ergebnis: </w:t>
      </w:r>
      <w:r>
        <w:t>1.818 Teilnehmer; latente Transitionsanalyse identifizierte 3 Symptombelastungs-Klassen. Hohe Symptombelastung: HR 1,20 für Hospitalisierung (95%-CI). Schmerzinterferenz und Müdigkeit stärkste Prädiktoren (je 1-Kategorie-Verschlechterung: +12% bzw. +8% Hazard). Symptombelastung sollte Behandlungsziel in Dialysezentren sein.</w:t>
      </w:r>
    </w:p>
    <w:p>
      <w:r>
        <w:rPr>
          <w:b/>
          <w:sz w:val="19"/>
        </w:rPr>
        <w:t xml:space="preserve">Übertragbarkeit: </w:t>
      </w:r>
      <w:r>
        <w:rPr>
          <w:sz w:val="19"/>
        </w:rPr>
        <w:t>US-Daten, aber Messinstrument und Fragestellung systemunabhängig auf deutsches Setting anwendbar.</w:t>
      </w:r>
    </w:p>
    <w:p>
      <w:r>
        <w:rPr>
          <w:color w:val="5A7D3A"/>
          <w:sz w:val="18"/>
        </w:rPr>
        <w:t>https://pubmed.ncbi.nlm.nih.gov/42668553/</w:t>
      </w:r>
    </w:p>
    <w:p>
      <w:pPr>
        <w:pStyle w:val="Heading2"/>
      </w:pPr>
      <w:r>
        <w:t>Kardiovaskulär-Nieren-Leber-Stoffwechsel-Last weltweit 1990–2023</w:t>
      </w:r>
    </w:p>
    <w:p>
      <w:r>
        <w:rPr>
          <w:i/>
          <w:color w:val="666666"/>
          <w:sz w:val="18"/>
        </w:rPr>
        <w:t>Jayabaskaran J et al.  ·  EClinicalMedicine  ·  22.08.2026  ·  PMID 42668515</w:t>
      </w:r>
    </w:p>
    <w:p>
      <w:r>
        <w:t>Deskriptive epidemiologische Analyse Global Burden of Disease 2023 zu Mortalität und DALYs für atherogene CVD, CKD, Typ-2-Diabetes, Adipositas und MASLD in 204 Ländern.</w:t>
      </w:r>
    </w:p>
    <w:p>
      <w:r>
        <w:rPr>
          <w:b/>
        </w:rPr>
        <w:t xml:space="preserve">Ergebnis: </w:t>
      </w:r>
      <w:r>
        <w:t>2023: 626,7 Millionen DALYs; altersstandardisierte Rate 6.944,3/100.000. Atherogene CVD 3.924,2 DALYs [95%-UI 3.667–4.181], Adipositas 1.500,0, Typ-2-Diabetes 956,7, CKD 523,8, MASLD 39,6. 1990–2023: CKLM-DALYs -24,4%; CVD -41,5%, aber Typ-2-Diabetes +37,5%, Adipositas +23,3%. Prävention muss geteilte Risikofaktoren adressieren.</w:t>
      </w:r>
    </w:p>
    <w:p>
      <w:r>
        <w:rPr>
          <w:b/>
          <w:sz w:val="19"/>
        </w:rPr>
        <w:t xml:space="preserve">Übertragbarkeit: </w:t>
      </w:r>
      <w:r>
        <w:rPr>
          <w:sz w:val="19"/>
        </w:rPr>
        <w:t>Globale Daten, WHO-Methodik; Trends relevant für deutsche Versorgungsplanung.</w:t>
      </w:r>
    </w:p>
    <w:p>
      <w:r>
        <w:rPr>
          <w:color w:val="5A7D3A"/>
          <w:sz w:val="18"/>
        </w:rPr>
        <w:t>https://pubmed.ncbi.nlm.nih.gov/42668515/</w:t>
      </w:r>
    </w:p>
    <w:p>
      <w:pPr>
        <w:pStyle w:val="Heading2"/>
      </w:pPr>
      <w:r>
        <w:t>Ambulante Behandlung akuter Herzinsuffizienz durch Fachkräfte – niedrigere Readmissions- und Mortalitätsraten</w:t>
      </w:r>
    </w:p>
    <w:p>
      <w:r>
        <w:rPr>
          <w:i/>
          <w:color w:val="666666"/>
          <w:sz w:val="18"/>
        </w:rPr>
        <w:t>Rasoul D et al.  ·  Curr Probl Cardiol  ·  29.08.2026  ·  PMID 42667938</w:t>
      </w:r>
    </w:p>
    <w:p>
      <w:r>
        <w:t>Retrospektive Kohortenstudie zu ambulanter Behandlung dekompenserter Herzinsuffizienz mit IV-Diuretika in spezialisierter Fachkrankenpflege-geführter Einheit versus stationär.</w:t>
      </w:r>
    </w:p>
    <w:p>
      <w:r>
        <w:rPr>
          <w:b/>
        </w:rPr>
        <w:t xml:space="preserve">Ergebnis: </w:t>
      </w:r>
      <w:r>
        <w:t>Nach Propensity-Score-Matching (je 1.227 Patienten): 30-Tage-Readmission AHFU vs. Standardcare 16,5% vs. 24,1% (p&lt;0,001); 1-Jahres-Readmission 25,2% vs. 30,8% (p=0,004); 30-Tage-Mortalität 10,1% vs. 13,5% (p=0,009); 1-Jahres-Mortalität vergleichbar (10,9% vs. 10,8%). Spezialisierte ambulante Versorgung kann Krankenhausbehandlung bei geeigneten Patienten reduzieren.</w:t>
      </w:r>
    </w:p>
    <w:p>
      <w:r>
        <w:rPr>
          <w:b/>
          <w:sz w:val="19"/>
        </w:rPr>
        <w:t xml:space="preserve">Übertragbarkeit: </w:t>
      </w:r>
      <w:r>
        <w:rPr>
          <w:sz w:val="19"/>
        </w:rPr>
        <w:t>Großbritannien, nationale Gesundheitsversorgung, hausarztgestützt – System übertragbar auf strukturierte Poliklinik-Modelle.</w:t>
      </w:r>
    </w:p>
    <w:p>
      <w:r>
        <w:rPr>
          <w:color w:val="5A7D3A"/>
          <w:sz w:val="18"/>
        </w:rPr>
        <w:t>https://pubmed.ncbi.nlm.nih.gov/42667938/</w:t>
      </w:r>
    </w:p>
    <w:p>
      <w:pPr>
        <w:pStyle w:val="Heading2"/>
      </w:pPr>
      <w:r>
        <w:t>Lebensqualität nach präventiver Hysterektomie bei Lynch-Syndrom</w:t>
      </w:r>
    </w:p>
    <w:p>
      <w:r>
        <w:rPr>
          <w:i/>
          <w:color w:val="666666"/>
          <w:sz w:val="18"/>
        </w:rPr>
        <w:t>Oxley SG et al.  ·  EClinicalMedicine  ·  27.07.2026  ·  PMID 42666945</w:t>
      </w:r>
    </w:p>
    <w:p>
      <w:r>
        <w:t>Multizentrische Querschnittsstudie (PRESCORES) zur Erfassung der gesundheitsbezogenen Lebensqualität (EQ-5D) bei Frauen mit Lynch-Syndrom mit und ohne risikoreduzierende Hysterektomie.</w:t>
      </w:r>
    </w:p>
    <w:p>
      <w:r>
        <w:rPr>
          <w:b/>
        </w:rPr>
        <w:t xml:space="preserve">Ergebnis: </w:t>
      </w:r>
      <w:r>
        <w:t>1.120 Teilnehmer: 529 nach RRH (Median 55 Jahre), 591 ohne (39 Jahre). Adjustierte mittlere EQ-5D-Differenz RRH vs. keine RRH: -0,020 (95%-CI -0,045–0,004; p=0,11), bei prämenopausalen Frauen -0,041 (p&lt;0,05). Cancer-Worry-Scale in RRH-Gruppe signifikant niedriger (Differenz -0,48; p=0,004). Hysterektomie bei jüngeren Frauen mit Lebensqualitätseinbußen assoziiert.</w:t>
      </w:r>
    </w:p>
    <w:p>
      <w:r>
        <w:rPr>
          <w:b/>
          <w:sz w:val="19"/>
        </w:rPr>
        <w:t xml:space="preserve">Übertragbarkeit: </w:t>
      </w:r>
      <w:r>
        <w:rPr>
          <w:sz w:val="19"/>
        </w:rPr>
        <w:t>Britische NHS-Daten, genetische Beratung/Screening-Kontext auf deutsches Versorgungssystem übertragbar.</w:t>
      </w:r>
    </w:p>
    <w:p>
      <w:r>
        <w:rPr>
          <w:color w:val="5A7D3A"/>
          <w:sz w:val="18"/>
        </w:rPr>
        <w:t>https://pubmed.ncbi.nlm.nih.gov/42666945/</w:t>
      </w:r>
    </w:p>
    <w:p>
      <w:pPr>
        <w:pStyle w:val="Heading2"/>
      </w:pPr>
      <w:r>
        <w:t>Körperliche Aktivität und Mundgesundheit im Alter – kausale Studie in Singapur</w:t>
      </w:r>
    </w:p>
    <w:p>
      <w:r>
        <w:rPr>
          <w:i/>
          <w:color w:val="666666"/>
          <w:sz w:val="18"/>
        </w:rPr>
        <w:t>Tay JRH et al.  ·  J Nutr Health Aging  ·  28.08.2026  ·  PMID 42664809</w:t>
      </w:r>
    </w:p>
    <w:p>
      <w:r>
        <w:t>Längsschnitt-Kausalitätsstudie (THE SIGNS Study, 2016–2024) zu Effekten erhöhter körperlicher Aktivität auf Mundgesundheit und Kaufunktion bei älteren Erwachsenen.</w:t>
      </w:r>
    </w:p>
    <w:p>
      <w:r>
        <w:rPr>
          <w:b/>
        </w:rPr>
        <w:t xml:space="preserve">Ergebnis: </w:t>
      </w:r>
      <w:r>
        <w:t>N=3.981, 3 Wellen. Erhöhung auf ≥450 MET-min/Woche: RR für schlechte Mundgesundheit 0,88 (95%-CI 0,82–0,95). Selbst Anstieg auf 150 MET-min/Woche: RR 0,93 (0,88–0,99). Eleminierung aller Aktivität erhöht Kaufunktionsstörungen um 21% (RR 1,21; 95%-CI 1,10–1,33). Physische Aktivität protektiv für Mundgesundheit im Alter.</w:t>
      </w:r>
    </w:p>
    <w:p>
      <w:r>
        <w:rPr>
          <w:b/>
          <w:sz w:val="19"/>
        </w:rPr>
        <w:t xml:space="preserve">Übertragbarkeit: </w:t>
      </w:r>
      <w:r>
        <w:rPr>
          <w:sz w:val="19"/>
        </w:rPr>
        <w:t>Singapur, steuerfinanziertes System; Public-Health-Fragestellung systemunabhängig, Ergebnisse auf deutsches Setting übertragbar.</w:t>
      </w:r>
    </w:p>
    <w:p>
      <w:r>
        <w:rPr>
          <w:color w:val="5A7D3A"/>
          <w:sz w:val="18"/>
        </w:rPr>
        <w:t>https://pubmed.ncbi.nlm.nih.gov/42664809/</w:t>
      </w:r>
    </w:p>
    <w:p>
      <w:pPr>
        <w:pStyle w:val="Heading2"/>
      </w:pPr>
      <w:r>
        <w:t>Difference-in-Differences – methodisches Rahmenwerk für pädiatrische Versorgungsforschung</w:t>
      </w:r>
    </w:p>
    <w:p>
      <w:r>
        <w:rPr>
          <w:i/>
          <w:color w:val="666666"/>
          <w:sz w:val="18"/>
        </w:rPr>
        <w:t>Lee AR et al.  ·  Arch Dis Child  ·  26.08.2026  ·  PMID 42648881</w:t>
      </w:r>
    </w:p>
    <w:p>
      <w:r>
        <w:t>Methodisches Tutorial zur Difference-in-Differences-Analyse für Kinderärzte im Bereich Versorgungsforschung.</w:t>
      </w:r>
    </w:p>
    <w:p>
      <w:r>
        <w:rPr>
          <w:b/>
        </w:rPr>
        <w:t xml:space="preserve">Ergebnis: </w:t>
      </w:r>
      <w:r>
        <w:t>Strukturierter Rahmen für quasi-experimentelle Analyse von Interventionseffekten mit zeitlicher und Kontrollgruppen-Variation. Methodisch-pädagogischer Beitrag ohne quantitative Ergebnisse eigener Studie.</w:t>
      </w:r>
    </w:p>
    <w:p>
      <w:r>
        <w:rPr>
          <w:b/>
          <w:sz w:val="19"/>
        </w:rPr>
        <w:t xml:space="preserve">Übertragbarkeit: </w:t>
      </w:r>
      <w:r>
        <w:rPr>
          <w:sz w:val="19"/>
        </w:rPr>
        <w:t>Methodische Anleitung, systemunabhängig anwendbar auf deutsche Versorgungsforschung.</w:t>
      </w:r>
    </w:p>
    <w:p>
      <w:r>
        <w:rPr>
          <w:color w:val="5A7D3A"/>
          <w:sz w:val="18"/>
        </w:rPr>
        <w:t>https://pubmed.ncbi.nlm.nih.gov/42648881/</w:t>
      </w:r>
    </w:p>
    <w:p>
      <w:pPr>
        <w:pStyle w:val="Heading1"/>
      </w:pPr>
      <w:r>
        <w:t>Aufgenommen am 30.08.2026</w:t>
      </w:r>
    </w:p>
    <w:p>
      <w:pPr>
        <w:pStyle w:val="Heading2"/>
      </w:pPr>
      <w:r>
        <w:t>Bewegungsaktivität reduziert perinatale Depression und Angststörungen</w:t>
      </w:r>
    </w:p>
    <w:p>
      <w:r>
        <w:rPr>
          <w:i/>
          <w:color w:val="666666"/>
          <w:sz w:val="18"/>
        </w:rPr>
        <w:t>Mohr E et al.  ·  EClinicalMedicine  ·  19.07.2026  ·  PMID 42666712</w:t>
      </w:r>
    </w:p>
    <w:p>
      <w:r>
        <w:t>Umbrella Review mit Meta-Meta-Analyse zur Wirksamkeit von körperlicher Aktivität auf depressive und Angstsymptome in der Perinatalzeit.</w:t>
      </w:r>
    </w:p>
    <w:p>
      <w:r>
        <w:rPr>
          <w:b/>
        </w:rPr>
        <w:t xml:space="preserve">Ergebnis: </w:t>
      </w:r>
      <w:r>
        <w:t>Leichte bis moderate körperliche Aktivität reduziert depressive Symptome signifikant (SMD: -0,56; 95%-KI: -0,93 bis -0,19, moderate Evidenzsicherheit), Yoga und Mixed-Activity zeigen besondere Effektivität (SMD: -0,55 bzw. -0,54). Angststörungen werden ebenfalls reduziert (SMD: -0,85; 95%-KI: -1,29 bis -0,42).</w:t>
      </w:r>
    </w:p>
    <w:p>
      <w:r>
        <w:rPr>
          <w:b/>
          <w:sz w:val="19"/>
        </w:rPr>
        <w:t xml:space="preserve">Übertragbarkeit: </w:t>
      </w:r>
      <w:r>
        <w:rPr>
          <w:sz w:val="19"/>
        </w:rPr>
        <w:t>Systematische Übersichtsarbeit, methodologisch hochwertig, globale Evidenz unmittelbar auf deutsches Versorgungssystem übertragbar</w:t>
      </w:r>
    </w:p>
    <w:p>
      <w:r>
        <w:rPr>
          <w:color w:val="5A7D3A"/>
          <w:sz w:val="18"/>
        </w:rPr>
        <w:t>https://pubmed.ncbi.nlm.nih.gov/42666712/</w:t>
      </w:r>
    </w:p>
    <w:p>
      <w:pPr>
        <w:pStyle w:val="Heading2"/>
      </w:pPr>
      <w:r>
        <w:t>Integratives Hypertonie-Monitoring mit Routinedaten in Mexikos föderalisiertem Public-Health-System</w:t>
      </w:r>
    </w:p>
    <w:p>
      <w:r>
        <w:rPr>
          <w:i/>
          <w:color w:val="666666"/>
          <w:sz w:val="18"/>
        </w:rPr>
        <w:t>Silva-Tinoco R et al.  ·  Health Serv Insights  ·  27.08.2026  ·  PMID 42666569</w:t>
      </w:r>
    </w:p>
    <w:p>
      <w:r>
        <w:t>Entwicklung und Evaluierung einer Monitoring-Plattform zur Überwachung der Hypertonie-Versorgung mithilfe von Routinedaten in einem neu strukturierten Gesundheitssystem.</w:t>
      </w:r>
    </w:p>
    <w:p>
      <w:r>
        <w:rPr>
          <w:b/>
        </w:rPr>
        <w:t xml:space="preserve">Ergebnis: </w:t>
      </w:r>
      <w:r>
        <w:t>Aus 486.044 Patienten in teilnehmenden Bundesländern erreichten 67,2% (95%-KI: 67,04–67,37) Blutdruckziele (&lt;140/90 mmHg), 36,8% (95%-KI: 36,62–36,96) strikte Kontrolle (&lt;130/80 mmHg). 63% mit suboptimaler Kontrolle erhielten Follow-up, 48% Therapieintensivierung.</w:t>
      </w:r>
    </w:p>
    <w:p>
      <w:r>
        <w:rPr>
          <w:b/>
          <w:sz w:val="19"/>
        </w:rPr>
        <w:t xml:space="preserve">Übertragbarkeit: </w:t>
      </w:r>
      <w:r>
        <w:rPr>
          <w:sz w:val="19"/>
        </w:rPr>
        <w:t>Mexico, Struktur unterschiedlich – begrenzte Übertragbarkeit, aber Monitoring-Framework methodisch relevant</w:t>
      </w:r>
    </w:p>
    <w:p>
      <w:r>
        <w:rPr>
          <w:color w:val="5A7D3A"/>
          <w:sz w:val="18"/>
        </w:rPr>
        <w:t>https://pubmed.ncbi.nlm.nih.gov/42666569/</w:t>
      </w:r>
    </w:p>
    <w:p>
      <w:pPr>
        <w:pStyle w:val="Heading2"/>
      </w:pPr>
      <w:r>
        <w:t>Health Literacy und ethnische Ungleichheiten in der Geburtshilfe: Scoping Review</w:t>
      </w:r>
    </w:p>
    <w:p>
      <w:r>
        <w:rPr>
          <w:i/>
          <w:color w:val="666666"/>
          <w:sz w:val="18"/>
        </w:rPr>
        <w:t>McEvoy B et al.  ·  BMC Health Serv Res  ·  25.08.2026  ·  PMID 42665809</w:t>
      </w:r>
    </w:p>
    <w:p>
      <w:r>
        <w:t>Systematische Analyse der Forschungsliteratur zu Health Literacy als Faktor für ethnische Disparitäten in der Mutterschaftsversorgung.</w:t>
      </w:r>
    </w:p>
    <w:p>
      <w:r>
        <w:rPr>
          <w:b/>
        </w:rPr>
        <w:t xml:space="preserve">Ergebnis: </w:t>
      </w:r>
      <w:r>
        <w:t>14 Studien eingeschlossen (7 quantitativ, 4 qualitativ, 3 gemischt). Vier Kernfunde: (i) diverse Health-Literacy-Definitionen, (ii) Health-Literacy-Herausforderungen treffen minoritäre Frauen überproportional, (iii) schlechte Health Literacy trägt zu adversen Outcomes bei, (iv) geringe Evaluierung von Interventionen. Erkannter Forschungsgap in diesem Versorgungsbereich.</w:t>
      </w:r>
    </w:p>
    <w:p>
      <w:r>
        <w:rPr>
          <w:b/>
          <w:sz w:val="19"/>
        </w:rPr>
        <w:t xml:space="preserve">Übertragbarkeit: </w:t>
      </w:r>
      <w:r>
        <w:rPr>
          <w:sz w:val="19"/>
        </w:rPr>
        <w:t>UK-Daten, aber Fragestellung zu Gesundheitskompetenz und Equity systemunabhängig relevant</w:t>
      </w:r>
    </w:p>
    <w:p>
      <w:r>
        <w:rPr>
          <w:color w:val="5A7D3A"/>
          <w:sz w:val="18"/>
        </w:rPr>
        <w:t>https://pubmed.ncbi.nlm.nih.gov/42665809/</w:t>
      </w:r>
    </w:p>
    <w:p>
      <w:pPr>
        <w:pStyle w:val="Heading2"/>
      </w:pPr>
      <w:r>
        <w:t>Empowerment von Gesundheitsarbeitern in Primary Health Care mittels partizipativer Aktionsforschung</w:t>
      </w:r>
    </w:p>
    <w:p>
      <w:r>
        <w:rPr>
          <w:i/>
          <w:color w:val="666666"/>
          <w:sz w:val="18"/>
        </w:rPr>
        <w:t>Jahromi MK et al.  ·  BMC Health Serv Res  ·  26.08.2026  ·  PMID 42665795</w:t>
      </w:r>
    </w:p>
    <w:p>
      <w:r>
        <w:t>22-Monate andauernde partizipative Aktionsforschung mit zwei Zyklen zur Stärkung der Kompetenz von Primary-Care-Anbietern im Iran.</w:t>
      </w:r>
    </w:p>
    <w:p>
      <w:r>
        <w:rPr>
          <w:b/>
        </w:rPr>
        <w:t xml:space="preserve">Ergebnis: </w:t>
      </w:r>
      <w:r>
        <w:t>Quantitative und qualitative Verbesserungen nach Intervention: erhöhtes psychological empowerment, verbesserte professional performance, höhere Zufriedenheit mit Schulungsprogrammen, verbesserte client satisfaction. Qualitative Befunde zeigen substanzielle Fortschritte in wissenschaftlich-praktischen Kompetenzen, unterstützender Arbeitskultur und psychischem Wohlbefinden.</w:t>
      </w:r>
    </w:p>
    <w:p>
      <w:r>
        <w:rPr>
          <w:b/>
          <w:sz w:val="19"/>
        </w:rPr>
        <w:t xml:space="preserve">Übertragbarkeit: </w:t>
      </w:r>
      <w:r>
        <w:rPr>
          <w:sz w:val="19"/>
        </w:rPr>
        <w:t>Iran (LMIC), Modell aber für Partizipation und Workforce-Entwicklung im deutschsprachigen Raum relevant</w:t>
      </w:r>
    </w:p>
    <w:p>
      <w:r>
        <w:rPr>
          <w:color w:val="5A7D3A"/>
          <w:sz w:val="18"/>
        </w:rPr>
        <w:t>https://pubmed.ncbi.nlm.nih.gov/42665795/</w:t>
      </w:r>
    </w:p>
    <w:p>
      <w:pPr>
        <w:pStyle w:val="Heading2"/>
      </w:pPr>
      <w:r>
        <w:t>Pharmakovigilanz-Wissen und -Praxis von Gesundheitsberufen in Georgien</w:t>
      </w:r>
    </w:p>
    <w:p>
      <w:r>
        <w:rPr>
          <w:i/>
          <w:color w:val="666666"/>
          <w:sz w:val="18"/>
        </w:rPr>
        <w:t>Silagadze N et al.  ·  BMC Health Serv Res  ·  22.07.2026  ·  PMID 42665790</w:t>
      </w:r>
    </w:p>
    <w:p>
      <w:r>
        <w:t>Querschnittstudie zu Wissen, Haltungen und Praktiken zur Erfassung von Nebenwirkungen durch Ärzte und Pflegekräfte in Georgien.</w:t>
      </w:r>
    </w:p>
    <w:p>
      <w:r>
        <w:rPr>
          <w:b/>
        </w:rPr>
        <w:t xml:space="preserve">Ergebnis: </w:t>
      </w:r>
      <w:r>
        <w:t>76,3% der Teilnehmer (n=684) begegneten Nebenwirkungen, aber nur 12,95% meldeten diese. Keine Pflegekraft und nur 10,2% der Ärzte nutzten das offizielle Meldungsformular. Hauptbarrieren: Mangel an Bewusstsein für nationale Meldesysteme (91,7%), Unsicherheit über Prozesse (76,9%), Unterschätzung der Schwere (40,8%). Ärzte hatten höhere Wissenswerte als Pflegekräfte (19 vs. 16; p&lt;0,001).</w:t>
      </w:r>
    </w:p>
    <w:p>
      <w:r>
        <w:rPr>
          <w:b/>
          <w:sz w:val="19"/>
        </w:rPr>
        <w:t xml:space="preserve">Übertragbarkeit: </w:t>
      </w:r>
      <w:r>
        <w:rPr>
          <w:sz w:val="19"/>
        </w:rPr>
        <w:t>Georgien (Entwicklungsland), aber Pharmaco-Vigilance-Herausforderungen und Lösungsansätze international übertragbar</w:t>
      </w:r>
    </w:p>
    <w:p>
      <w:r>
        <w:rPr>
          <w:color w:val="5A7D3A"/>
          <w:sz w:val="18"/>
        </w:rPr>
        <w:t>https://pubmed.ncbi.nlm.nih.gov/42665790/</w:t>
      </w:r>
    </w:p>
    <w:p>
      <w:pPr>
        <w:pStyle w:val="Heading2"/>
      </w:pPr>
      <w:r>
        <w:t>Methoden zur Analyse von Patientenbewegungen zwischen Versorgungssettings: Systematische Übersicht</w:t>
      </w:r>
    </w:p>
    <w:p>
      <w:r>
        <w:rPr>
          <w:i/>
          <w:color w:val="666666"/>
          <w:sz w:val="18"/>
        </w:rPr>
        <w:t>Yang F et al.  ·  BMJ Open  ·  28.08.2026  ·  PMID 42665343</w:t>
      </w:r>
    </w:p>
    <w:p>
      <w:r>
        <w:t>Systematische Literaturübersicht zu Methoden für die Analyse von Patientenpfaden und -flüssen über multiple Versorgungsebenen hinweg.</w:t>
      </w:r>
    </w:p>
    <w:p>
      <w:r>
        <w:rPr>
          <w:b/>
        </w:rPr>
        <w:t xml:space="preserve">Ergebnis: </w:t>
      </w:r>
      <w:r>
        <w:t>24 Studien identifiziert, 7 distinct Methoden und 5 Forschungsthemen. Die meisten nutzten deskriptive Statistiken und Gruppenvergleiche; Discrete-Event-Simulation wurde häufiger für Patientenbewegungssimulationen eingesetzt. Patiententransfervolumina/Outcomes und Kapazitätsplanung waren am häufigsten untersuchte Themen. Statistical analysis, mathematical modelling und computer simulation bieten komplementäre Ansätze.</w:t>
      </w:r>
    </w:p>
    <w:p>
      <w:r>
        <w:rPr>
          <w:b/>
          <w:sz w:val="19"/>
        </w:rPr>
        <w:t xml:space="preserve">Übertragbarkeit: </w:t>
      </w:r>
      <w:r>
        <w:rPr>
          <w:sz w:val="19"/>
        </w:rPr>
        <w:t>Nordeuropa (Norwegen, UK), Methodologie systemunabhängig, für deutsches Transitions-Management relevant</w:t>
      </w:r>
    </w:p>
    <w:p>
      <w:r>
        <w:rPr>
          <w:color w:val="5A7D3A"/>
          <w:sz w:val="18"/>
        </w:rPr>
        <w:t>https://pubmed.ncbi.nlm.nih.gov/42665343/</w:t>
      </w:r>
    </w:p>
    <w:p>
      <w:pPr>
        <w:pStyle w:val="Heading1"/>
      </w:pPr>
      <w:r>
        <w:t>Aufgenommen am 29.08.2026</w:t>
      </w:r>
    </w:p>
    <w:p>
      <w:pPr>
        <w:pStyle w:val="Heading2"/>
      </w:pPr>
      <w:r>
        <w:t>Palliative Reasoning in multiprofessioneller Palliativversorgung implementieren</w:t>
      </w:r>
    </w:p>
    <w:p>
      <w:r>
        <w:rPr>
          <w:i/>
          <w:color w:val="666666"/>
          <w:sz w:val="18"/>
        </w:rPr>
        <w:t>Kochems K et al.  ·  PLoS One  ·  28.08.2026  ·  PMID 42664250</w:t>
      </w:r>
    </w:p>
    <w:p>
      <w:r>
        <w:t>Niederländische Studie zur iterativen Anpassung und Implementierung einer integrierten Intervention (Palliative Reasoning Working Method) in Primärversorgung, Hospizen und Pflegeheimen.</w:t>
      </w:r>
    </w:p>
    <w:p>
      <w:r>
        <w:rPr>
          <w:b/>
        </w:rPr>
        <w:t xml:space="preserve">Ergebnis: </w:t>
      </w:r>
      <w:r>
        <w:t>Palliative Reasoning wurde in 20 multiprofessionellen Teams erfolgreich implementiert. Es zeigte Verbesserungen bei Erkennung von Palliativbedarfen, patientenzentrierter Versorgung, Pflegekompetenz und Teamzusammenarbeit. 14 Inhaltsadaptationen und 7 Unterstützungsmaterialien wurden entwickelt. Integration in elektronische Gesundheitsakten und organisatorische Verankerung waren entscheidend für Nachhaltigkeit.</w:t>
      </w:r>
    </w:p>
    <w:p>
      <w:r>
        <w:rPr>
          <w:b/>
          <w:sz w:val="19"/>
        </w:rPr>
        <w:t xml:space="preserve">Übertragbarkeit: </w:t>
      </w:r>
      <w:r>
        <w:rPr>
          <w:sz w:val="19"/>
        </w:rPr>
        <w:t>Niederlande, vergleichbares Sozialversicherungssystem, multiprofessionelle Strukturen</w:t>
      </w:r>
    </w:p>
    <w:p>
      <w:r>
        <w:rPr>
          <w:color w:val="5A7D3A"/>
          <w:sz w:val="18"/>
        </w:rPr>
        <w:t>https://pubmed.ncbi.nlm.nih.gov/42664250/</w:t>
      </w:r>
    </w:p>
    <w:p>
      <w:pPr>
        <w:pStyle w:val="Heading2"/>
      </w:pPr>
      <w:r>
        <w:t>Medicare Advantage und Nierenerkrankung im Endstadium nach Cures Act</w:t>
      </w:r>
    </w:p>
    <w:p>
      <w:r>
        <w:rPr>
          <w:i/>
          <w:color w:val="666666"/>
          <w:sz w:val="18"/>
        </w:rPr>
        <w:t>Cai ST et al.  ·  Health Serv Res  ·  Okt. 2026  ·  PMID 42663502</w:t>
      </w:r>
    </w:p>
    <w:p>
      <w:r>
        <w:t>US-Studie zur Veränderung der MA-Versichertenpopulation mit Nierenerkrankung im Endstadium nach Ausweitung der MA-Zulassung 2021 mittels Unterbruchszeitreihentechnik.</w:t>
      </w:r>
    </w:p>
    <w:p>
      <w:r>
        <w:rPr>
          <w:b/>
        </w:rPr>
        <w:t xml:space="preserve">Ergebnis: </w:t>
      </w:r>
      <w:r>
        <w:t>Nach der Politikänderung waren MA-Versicherte mit Nierenerkrankung im Endstadium jünger, hatten niedrigere Komorbiditätsbelastung, aber niedrigeres Einkommen. Hospitalisierungsraten sank unmittelbar um 0,013 pro Versicherter-Monat (6 % relativer Rückgang; 95%-KI: -0,022 bis -0,003; p &lt; 0,05).</w:t>
      </w:r>
    </w:p>
    <w:p>
      <w:r>
        <w:rPr>
          <w:b/>
          <w:sz w:val="19"/>
        </w:rPr>
        <w:t xml:space="preserve">Übertragbarkeit: </w:t>
      </w:r>
      <w:r>
        <w:rPr>
          <w:sz w:val="19"/>
        </w:rPr>
        <w:t>US-Daten, fragmentiertes System mit Medicaid/Medicare, eingeschränkt übertragbar</w:t>
      </w:r>
    </w:p>
    <w:p>
      <w:r>
        <w:rPr>
          <w:color w:val="5A7D3A"/>
          <w:sz w:val="18"/>
        </w:rPr>
        <w:t>https://pubmed.ncbi.nlm.nih.gov/42663502/</w:t>
      </w:r>
    </w:p>
    <w:p>
      <w:pPr>
        <w:pStyle w:val="Heading2"/>
      </w:pPr>
      <w:r>
        <w:t>Persistenz geburtshilflicher Versorgungsabsenz in US-Counties 2015–2023</w:t>
      </w:r>
    </w:p>
    <w:p>
      <w:r>
        <w:rPr>
          <w:i/>
          <w:color w:val="666666"/>
          <w:sz w:val="18"/>
        </w:rPr>
        <w:t>Laternser C  ·  Health Serv Res  ·  Okt. 2026  ·  PMID 42663181</w:t>
      </w:r>
    </w:p>
    <w:p>
      <w:r>
        <w:t>Longitudinale Panelstudie der Persistenz und Übergangsdynamik fehlender geburtshilflicher Dienste in 3144 US-Counties mit Analysen von Übergangswahrscheinlichkeiten und Prävalenztrends.</w:t>
      </w:r>
    </w:p>
    <w:p>
      <w:r>
        <w:rPr>
          <w:b/>
        </w:rPr>
        <w:t xml:space="preserve">Ergebnis: </w:t>
      </w:r>
      <w:r>
        <w:t>Geburtshilfliche Serviceabsenz war hochgradig persistent (Prevalenz stabil bei 34,2 %). Bevölkerungsexposition sank (6,5 % auf 5,3 % der Frauen 15–44 Jahre in Counties ohne Services). Jährliche Übergänge waren selten (Eintritt ≤ 0,4 %; Austritt ≤ 0,9 %). Bedingte Verweilwahrscheinlichkeiten ≥ 0,991.</w:t>
      </w:r>
    </w:p>
    <w:p>
      <w:r>
        <w:rPr>
          <w:b/>
          <w:sz w:val="19"/>
        </w:rPr>
        <w:t xml:space="preserve">Übertragbarkeit: </w:t>
      </w:r>
      <w:r>
        <w:rPr>
          <w:sz w:val="19"/>
        </w:rPr>
        <w:t>USA, sehr dezentrales System; Frage aber für Strukturplanung relevant</w:t>
      </w:r>
    </w:p>
    <w:p>
      <w:r>
        <w:rPr>
          <w:color w:val="5A7D3A"/>
          <w:sz w:val="18"/>
        </w:rPr>
        <w:t>https://pubmed.ncbi.nlm.nih.gov/42663181/</w:t>
      </w:r>
    </w:p>
    <w:p>
      <w:pPr>
        <w:pStyle w:val="Heading2"/>
      </w:pPr>
      <w:r>
        <w:t>Naturgestützte Social Prescribing gegen Einsamkeit und Lebensqualität</w:t>
      </w:r>
    </w:p>
    <w:p>
      <w:r>
        <w:rPr>
          <w:i/>
          <w:color w:val="666666"/>
          <w:sz w:val="18"/>
        </w:rPr>
        <w:t>Coll-Planas L et al.  ·  Lancet Reg Health Eur  ·  18.08.2026  ·  PMID 42662493</w:t>
      </w:r>
    </w:p>
    <w:p>
      <w:r>
        <w:t>Randomisierte kontrollierte Studie in Barcelona zu natur- und gruppenbasierter sozialer Verschreibung (Friends in Nature) bei gefährdeten städtischen Erwachsenen versus aktive Signposting.</w:t>
      </w:r>
    </w:p>
    <w:p>
      <w:r>
        <w:rPr>
          <w:b/>
        </w:rPr>
        <w:t xml:space="preserve">Ergebnis: </w:t>
      </w:r>
      <w:r>
        <w:t>320 Teilnehmer (78% weiblich; Medianalter 62,8 Jahre) randomisiert. Bei 3 Monaten zeigten beide Gruppen signifikante Einsamkeitsreduktion um 10,5 % (Gesamtmittelwertänderung: -0,73; 95%-KI -1,04 bis -0,42), kein signifikanter Unterschied zwischen Gruppen (0,30; 95%-KI -0,26 bis 0,86; p = 0,296). Keine HRQoL-Veränderung.</w:t>
      </w:r>
    </w:p>
    <w:p>
      <w:r>
        <w:rPr>
          <w:b/>
          <w:sz w:val="19"/>
        </w:rPr>
        <w:t xml:space="preserve">Übertragbarkeit: </w:t>
      </w:r>
      <w:r>
        <w:rPr>
          <w:sz w:val="19"/>
        </w:rPr>
        <w:t>Spanien, EU-Sozialversicherung, städtischer Kontext mit Deprivation</w:t>
      </w:r>
    </w:p>
    <w:p>
      <w:r>
        <w:rPr>
          <w:color w:val="5A7D3A"/>
          <w:sz w:val="18"/>
        </w:rPr>
        <w:t>https://pubmed.ncbi.nlm.nih.gov/42662493/</w:t>
      </w:r>
    </w:p>
    <w:p>
      <w:pPr>
        <w:pStyle w:val="Heading2"/>
      </w:pPr>
      <w:r>
        <w:t>Patientensicherheitskultur in integrierten Gesundheits- und Sozialdiensten (Finnland)</w:t>
      </w:r>
    </w:p>
    <w:p>
      <w:r>
        <w:rPr>
          <w:i/>
          <w:color w:val="666666"/>
          <w:sz w:val="18"/>
        </w:rPr>
        <w:t>Hult M et al.  ·  BMJ Open Qual  ·  27.08.2026  ·  PMID 42660605</w:t>
      </w:r>
    </w:p>
    <w:p>
      <w:r>
        <w:t>Querschnittstudie zur Patientensicherheitskultur in 2623 Mitarbeitern von Krankenhaus-, Sozial- und Altenpflegediensten in finnischer Wellbeing Services County mittels SOPS 2.0 und Net Safety Score.</w:t>
      </w:r>
    </w:p>
    <w:p>
      <w:r>
        <w:rPr>
          <w:b/>
        </w:rPr>
        <w:t xml:space="preserve">Ergebnis: </w:t>
      </w:r>
      <w:r>
        <w:t>Teamwork erhielt höchste positive Bewertungen (71,1 %), Übergaben und Informationsaustausch niedrigste (22,6 %). Altenpflegedienste zeigten konsistent niedrigere Werte. Teamwork, Besetzung, Arbeitsgeschwindigkeit und organisatorisches Lernen waren stärkste NSS-Prädiktoren. Gesamtpositiv-NSS: 52,6 %. Regressionsmodelle erklärten 47,4 % (Krankenhaus), 47,0 % (Altenpflege) und 35,8 % (Sozial/Gesundheit) der NSS-Varianz.</w:t>
      </w:r>
    </w:p>
    <w:p>
      <w:r>
        <w:rPr>
          <w:b/>
          <w:sz w:val="19"/>
        </w:rPr>
        <w:t xml:space="preserve">Übertragbarkeit: </w:t>
      </w:r>
      <w:r>
        <w:rPr>
          <w:sz w:val="19"/>
        </w:rPr>
        <w:t>Finnland, steuerfinanziert, aber auf integrierte Versorgungskultur übertragbar</w:t>
      </w:r>
    </w:p>
    <w:p>
      <w:r>
        <w:rPr>
          <w:color w:val="5A7D3A"/>
          <w:sz w:val="18"/>
        </w:rPr>
        <w:t>https://pubmed.ncbi.nlm.nih.gov/42660605/</w:t>
      </w:r>
    </w:p>
    <w:p>
      <w:pPr>
        <w:pStyle w:val="Heading2"/>
      </w:pPr>
      <w:r>
        <w:t>Ambulante Nachsorge bei Diabetes nach ED-Entlassung</w:t>
      </w:r>
    </w:p>
    <w:p>
      <w:r>
        <w:rPr>
          <w:i/>
          <w:color w:val="666666"/>
          <w:sz w:val="18"/>
        </w:rPr>
        <w:t>Zikry HE et al.  ·  J Gen Intern Med  ·  26.08.2026  ·  PMID 42649455</w:t>
      </w:r>
    </w:p>
    <w:p>
      <w:r>
        <w:t>Retrospektive Kohortenstudie (131.881 Patienten mit kommerzieller/MA-Versicherung, 2016–2022) zu Häufigkeit, Timing und Patientencharakteristika für ambulante Nachsorge innerhalb 30 Tage nach ED-Entlassung wegen Diabetes.</w:t>
      </w:r>
    </w:p>
    <w:p>
      <w:r>
        <w:rPr>
          <w:b/>
        </w:rPr>
        <w:t xml:space="preserve">Ergebnis: </w:t>
      </w:r>
      <w:r>
        <w:t>46,1 % erhielten ambulante Nachsorge innerhalb 30 Tagen; 13,0 % kehrten vorher zur ED zurück. Nachsorgeraten stiegen moderat von 44 % (2016) auf 49 % (2022). Höheres Alter, kommerzielle Versicherung und vorherige ambulante Versorgungskontakte waren mit höherer Wahrscheinlichkeit assoziiert. Nicht-hispanische Schwarze, MA-Versicherte mit Niedrigeinkommenszuschuss, höhere Komorbiditäten und Typ-1-Diabetes zeigten niedrigere Wahrscheinlichkeit.</w:t>
      </w:r>
    </w:p>
    <w:p>
      <w:r>
        <w:rPr>
          <w:b/>
          <w:sz w:val="19"/>
        </w:rPr>
        <w:t xml:space="preserve">Übertragbarkeit: </w:t>
      </w:r>
      <w:r>
        <w:rPr>
          <w:sz w:val="19"/>
        </w:rPr>
        <w:t>USA, aber Kontinuitätslücke und Versorgungsübergänge sind systemunabhängig relevant</w:t>
      </w:r>
    </w:p>
    <w:p>
      <w:r>
        <w:rPr>
          <w:color w:val="5A7D3A"/>
          <w:sz w:val="18"/>
        </w:rPr>
        <w:t>https://pubmed.ncbi.nlm.nih.gov/42649455/</w:t>
      </w:r>
    </w:p>
    <w:p>
      <w:pPr>
        <w:pStyle w:val="Heading1"/>
      </w:pPr>
      <w:r>
        <w:t>Aufgenommen am 28.08.2026</w:t>
      </w:r>
    </w:p>
    <w:p>
      <w:pPr>
        <w:pStyle w:val="Heading2"/>
      </w:pPr>
      <w:r>
        <w:t>Implementierung von Rehabilitations-Robotik in Regelversorgung: Systematisches Mapping</w:t>
      </w:r>
    </w:p>
    <w:p>
      <w:r>
        <w:rPr>
          <w:i/>
          <w:color w:val="666666"/>
          <w:sz w:val="18"/>
        </w:rPr>
        <w:t>Calabrò RS et al.  ·  Healthcare (Basel)  ·  14.08.2026  ·  PMID 42651315</w:t>
      </w:r>
    </w:p>
    <w:p>
      <w:r>
        <w:t>Mapping-Review zu Service-Delivery-Modellen, Implementierungsfaktoren und Real-World-Outcomes von Rehabilitations-Robotik in neurorehabilitation Kliniken (55 Studien).</w:t>
      </w:r>
    </w:p>
    <w:p>
      <w:r>
        <w:rPr>
          <w:b/>
        </w:rPr>
        <w:t xml:space="preserve">Ergebnis: </w:t>
      </w:r>
      <w:r>
        <w:t>Personalausstattung in 90,9 % der Studien dokumentiert, Workflow/Planung in 78,2 %, Sicherheit in 58,2 %, Training in 52,7 % berichtet. Feasibility in 72,7 %, Akzeptabilität in 56,4 %, Adoption in 41,8 % dokumentiert. Nachhaltigkeit, technischer Support und Implementierungskosten unterberichtet.</w:t>
      </w:r>
    </w:p>
    <w:p>
      <w:r>
        <w:rPr>
          <w:b/>
          <w:sz w:val="19"/>
        </w:rPr>
        <w:t xml:space="preserve">Übertragbarkeit: </w:t>
      </w:r>
      <w:r>
        <w:rPr>
          <w:sz w:val="19"/>
        </w:rPr>
        <w:t>Implementierungsforschung, qualitative Evidenz; Systemkontext unterschiedlich aber methodisch relevant</w:t>
      </w:r>
    </w:p>
    <w:p>
      <w:r>
        <w:rPr>
          <w:color w:val="5A7D3A"/>
          <w:sz w:val="18"/>
        </w:rPr>
        <w:t>https://pubmed.ncbi.nlm.nih.gov/42651315/</w:t>
      </w:r>
    </w:p>
    <w:p>
      <w:pPr>
        <w:pStyle w:val="Heading2"/>
      </w:pPr>
      <w:r>
        <w:t>Peer Researcher in Surveys: Training, Support und Evaluation – Narrative Review</w:t>
      </w:r>
    </w:p>
    <w:p>
      <w:r>
        <w:rPr>
          <w:i/>
          <w:color w:val="666666"/>
          <w:sz w:val="18"/>
        </w:rPr>
        <w:t>Blunt TJG et al.  ·  Res Involv Engagem  ·  25.08.2026  ·  PMID 42642786</w:t>
      </w:r>
    </w:p>
    <w:p>
      <w:r>
        <w:t>Narrative Review von Literatur zu Involvement, Training und Evaluation von Peer Researchers bei survey-basierten Datenerhebungen (Fokus auf methodische Lücken).</w:t>
      </w:r>
    </w:p>
    <w:p>
      <w:r>
        <w:rPr>
          <w:b/>
        </w:rPr>
        <w:t xml:space="preserve">Ergebnis: </w:t>
      </w:r>
      <w:r>
        <w:t>PR-Rollen variabel, oft nur Datenerhebung. Training reicht von intensiv strukturiert bis minimal/absent. PR-Involvement verbesserte Rekrutierung, Rapport, Datentiefe, aber systematische Evaluation selten. Herausforderungen: Rollenklarheit unklar, unzureichende Unterstützung, hierarchische Dynamiken, Tokenismus.</w:t>
      </w:r>
    </w:p>
    <w:p>
      <w:r>
        <w:rPr>
          <w:b/>
          <w:sz w:val="19"/>
        </w:rPr>
        <w:t xml:space="preserve">Übertragbarkeit: </w:t>
      </w:r>
      <w:r>
        <w:rPr>
          <w:sz w:val="19"/>
        </w:rPr>
        <w:t>Partizipative Forschungsmethoden relevant für deutsches HSR; Evidenz international heterogen</w:t>
      </w:r>
    </w:p>
    <w:p>
      <w:r>
        <w:rPr>
          <w:color w:val="5A7D3A"/>
          <w:sz w:val="18"/>
        </w:rPr>
        <w:t>https://pubmed.ncbi.nlm.nih.gov/42642786/</w:t>
      </w:r>
    </w:p>
    <w:p>
      <w:pPr>
        <w:pStyle w:val="Heading2"/>
      </w:pPr>
      <w:r>
        <w:t>Systems Thinking in Public-Health-Interventionen: Barrieren und Facilitators</w:t>
      </w:r>
    </w:p>
    <w:p>
      <w:r>
        <w:rPr>
          <w:i/>
          <w:color w:val="666666"/>
          <w:sz w:val="18"/>
        </w:rPr>
        <w:t>Alabdulaali M et al.  ·  BMC Health Serv Res  ·  19.08.2026  ·  PMID 42642760</w:t>
      </w:r>
    </w:p>
    <w:p>
      <w:r>
        <w:t>Systematisches Review von 15 Studien zu Implementierung von Systems-Thinking-Ansätzen in Public-Health-Interventionen, Barrieren und Facilitators in 2013–2025.</w:t>
      </w:r>
    </w:p>
    <w:p>
      <w:r>
        <w:rPr>
          <w:b/>
        </w:rPr>
        <w:t xml:space="preserve">Ergebnis: </w:t>
      </w:r>
      <w:r>
        <w:t>Hauptfacilitatoren: Stakeholder-Engagement, Co-Production, Integration in bestehende Systeme, inkrementelle Kapazitätsbildung, Leadership-Support. Barrieren: Schwierigkeit, Systemkonzepte umzusetzen, Personalknappheit, fragmentierte Datensysteme, starre Governance, externe Disruptionen (z.B. COVID-19).</w:t>
      </w:r>
    </w:p>
    <w:p>
      <w:r>
        <w:rPr>
          <w:b/>
          <w:sz w:val="19"/>
        </w:rPr>
        <w:t xml:space="preserve">Übertragbarkeit: </w:t>
      </w:r>
      <w:r>
        <w:rPr>
          <w:sz w:val="19"/>
        </w:rPr>
        <w:t>Internationale Studien aber Implementierungsrahmen systemunabhängig; relevant für Reformkontexte wie Deutschland</w:t>
      </w:r>
    </w:p>
    <w:p>
      <w:r>
        <w:rPr>
          <w:color w:val="5A7D3A"/>
          <w:sz w:val="18"/>
        </w:rPr>
        <w:t>https://pubmed.ncbi.nlm.nih.gov/42642760/</w:t>
      </w:r>
    </w:p>
    <w:p>
      <w:pPr>
        <w:pStyle w:val="Heading2"/>
      </w:pPr>
      <w:r>
        <w:t>Räumliche Erreichbarkeit von Hospizen in Deutschland: Vergleich von Messmethoden</w:t>
      </w:r>
    </w:p>
    <w:p>
      <w:r>
        <w:rPr>
          <w:i/>
          <w:color w:val="666666"/>
          <w:sz w:val="18"/>
        </w:rPr>
        <w:t>Petzold T et al.  ·  BMC Health Serv Res  ·  21.08.2026  ·  PMID 42642757</w:t>
      </w:r>
    </w:p>
    <w:p>
      <w:r>
        <w:t>Vergleich von vier Methoden zur Messung der räumlichen Erreichbarkeit von Hospizen anhand von 295 deutschen Einrichtungen.</w:t>
      </w:r>
    </w:p>
    <w:p>
      <w:r>
        <w:rPr>
          <w:b/>
        </w:rPr>
        <w:t xml:space="preserve">Ergebnis: </w:t>
      </w:r>
      <w:r>
        <w:t>90,3 % der Bevölkerung erreichen ein Hospiz innerhalb von 30 min. Methoden zeigen unterschiedliche Ergebnisse: Provider-to-Population-Ratio zeigt 36,4 Betten pro 1 Mio. Einwohner national; FCA-Methoden sind heterogener, besonders in ländlichen Regionen. Die Wahl der Methode beeinflusst Ergebnisse erheblich.</w:t>
      </w:r>
    </w:p>
    <w:p>
      <w:r>
        <w:rPr>
          <w:b/>
          <w:sz w:val="19"/>
        </w:rPr>
        <w:t xml:space="preserve">Übertragbarkeit: </w:t>
      </w:r>
      <w:r>
        <w:rPr>
          <w:sz w:val="19"/>
        </w:rPr>
        <w:t>Deutsche Hospize, Routinedaten; direkt übertragbar auf deutsches Versorgungssystem</w:t>
      </w:r>
    </w:p>
    <w:p>
      <w:r>
        <w:rPr>
          <w:color w:val="5A7D3A"/>
          <w:sz w:val="18"/>
        </w:rPr>
        <w:t>https://pubmed.ncbi.nlm.nih.gov/42642757/</w:t>
      </w:r>
    </w:p>
    <w:p>
      <w:pPr>
        <w:pStyle w:val="Heading2"/>
      </w:pPr>
      <w:r>
        <w:t>Health Literacy und Malaria-Verhalten in Gabun: Assoziationen bei Prävention und Adhärenz</w:t>
      </w:r>
    </w:p>
    <w:p>
      <w:r>
        <w:rPr>
          <w:i/>
          <w:color w:val="666666"/>
          <w:sz w:val="18"/>
        </w:rPr>
        <w:t>Namubiru C et al.  ·  BMC Health Serv Res  ·  24.08.2026  ·  PMID 42642735</w:t>
      </w:r>
    </w:p>
    <w:p>
      <w:r>
        <w:t>Querschnittstudie zu Assoziationen zwischen Health Literacy und Malaria-Präventionsverhalten bei 504 Befragten in urban und ländlich Gabun.</w:t>
      </w:r>
    </w:p>
    <w:p>
      <w:r>
        <w:rPr>
          <w:b/>
        </w:rPr>
        <w:t xml:space="preserve">Ergebnis: </w:t>
      </w:r>
      <w:r>
        <w:t>59,7 % mit ausreichender Health Literacy (HL). HL assoziiert mit Dosierungswissen (AME 0,022, p&lt;0,001), Adhärenz (OR 1,089, p&lt;0,01), Fragen stellen (OR 1,092, p&lt;0,001) und Netztnutzung (p&lt;0,05). Keine Assoziation mit Behandlungssuche oder Buschrodung (p&gt;0,05).</w:t>
      </w:r>
    </w:p>
    <w:p>
      <w:r>
        <w:rPr>
          <w:b/>
          <w:sz w:val="19"/>
        </w:rPr>
        <w:t xml:space="preserve">Übertragbarkeit: </w:t>
      </w:r>
      <w:r>
        <w:rPr>
          <w:sz w:val="19"/>
        </w:rPr>
        <w:t>Ressourcen-limitiertes Setting mit anderen Prioritäten; Methodologie aber für Versorgungsforschung relevant</w:t>
      </w:r>
    </w:p>
    <w:p>
      <w:r>
        <w:rPr>
          <w:color w:val="5A7D3A"/>
          <w:sz w:val="18"/>
        </w:rPr>
        <w:t>https://pubmed.ncbi.nlm.nih.gov/42642735/</w:t>
      </w:r>
    </w:p>
    <w:p>
      <w:pPr>
        <w:pStyle w:val="Heading2"/>
      </w:pPr>
      <w:r>
        <w:t>Globale Fortschritte bei oralmedizinischen Bedingungen 2019–2023: GBD-Analyse</w:t>
      </w:r>
    </w:p>
    <w:p>
      <w:r>
        <w:rPr>
          <w:i/>
          <w:color w:val="666666"/>
          <w:sz w:val="18"/>
        </w:rPr>
        <w:t>GBD 2023 Oral Disorders Collaborators  ·  Lancet Public Health  ·  Sept. 2026  ·  PMID 42612648</w:t>
      </w:r>
    </w:p>
    <w:p>
      <w:r>
        <w:t>Systematische GBD-2023-Analyse zu globalen und regionalen Trends bei Prävalenz von Mundhöhlenerkrankungen (Karies, Parodontitis, Zahnlosigkeit) 2019–2023 gegenüber WHO-Ziel 2030.</w:t>
      </w:r>
    </w:p>
    <w:p>
      <w:r>
        <w:rPr>
          <w:b/>
        </w:rPr>
        <w:t xml:space="preserve">Ergebnis: </w:t>
      </w:r>
      <w:r>
        <w:t>Altersstandardisierte Prävalenz hauptsächlich sank um -1,55 % (95% UI -2,32 bis -0,82); absolute Fälle stiegen aber +3,07 %. Unbehandelte Karies in bleibenden Zähnen -1,99 %, orofaziale Spalten +2,25 %. Südasien -3,34 %, Sub-Sahara +9,51 %. Aktuelles Tempo unzureichend für 2030-Ziele.</w:t>
      </w:r>
    </w:p>
    <w:p>
      <w:r>
        <w:rPr>
          <w:b/>
          <w:sz w:val="19"/>
        </w:rPr>
        <w:t xml:space="preserve">Übertragbarkeit: </w:t>
      </w:r>
      <w:r>
        <w:rPr>
          <w:sz w:val="19"/>
        </w:rPr>
        <w:t>WHO-GBD-Daten global; Trendfeststellung systemunabhängig aber mit Lücken in DE-Datenerfassung</w:t>
      </w:r>
    </w:p>
    <w:p>
      <w:r>
        <w:rPr>
          <w:color w:val="5A7D3A"/>
          <w:sz w:val="18"/>
        </w:rPr>
        <w:t>https://pubmed.ncbi.nlm.nih.gov/42612648/</w:t>
      </w:r>
    </w:p>
    <w:p>
      <w:pPr>
        <w:pStyle w:val="Heading1"/>
      </w:pPr>
      <w:r>
        <w:t>Aufgenommen am 27.08.2026</w:t>
      </w:r>
    </w:p>
    <w:p>
      <w:pPr>
        <w:pStyle w:val="Heading2"/>
      </w:pPr>
      <w:r>
        <w:t>Safeguarding concerns older adults with dementia in England: distribution and disparities</w:t>
      </w:r>
    </w:p>
    <w:p>
      <w:r>
        <w:rPr>
          <w:i/>
          <w:color w:val="666666"/>
          <w:sz w:val="18"/>
        </w:rPr>
        <w:t>Maharani A et al.  ·  BMJ Open  ·  26.08.2026  ·  PMID 42648775</w:t>
      </w:r>
    </w:p>
    <w:p>
      <w:r>
        <w:t>Bevölkerungsgestützte Analyse räumlicher und zeitlicher Muster von Schutzmaßnahmen für demenzkranke Menschen in England zwischen 2015 und 2022.</w:t>
      </w:r>
    </w:p>
    <w:p>
      <w:r>
        <w:rPr>
          <w:b/>
        </w:rPr>
        <w:t xml:space="preserve">Ergebnis: </w:t>
      </w:r>
      <w:r>
        <w:t>Schutzmaßnahmen stiegen um 55,5 % (2015/16–2019/20); Frauen ab 85 Jahren zeigten höhere Raten; räumliche Variabilität: höhere Aktivität in urbanen und benachteiligten Regionen (Manchester, Liverpool, Midlands), niedrigere in ländlichen Gebieten.</w:t>
      </w:r>
    </w:p>
    <w:p>
      <w:r>
        <w:rPr>
          <w:b/>
          <w:sz w:val="19"/>
        </w:rPr>
        <w:t xml:space="preserve">Übertragbarkeit: </w:t>
      </w:r>
      <w:r>
        <w:rPr>
          <w:sz w:val="19"/>
        </w:rPr>
        <w:t>Großbritannien, administrative nationale Daten – eingeschränkt übertragbar wegen anderer Sozialsysteme</w:t>
      </w:r>
    </w:p>
    <w:p>
      <w:r>
        <w:rPr>
          <w:color w:val="5A7D3A"/>
          <w:sz w:val="18"/>
        </w:rPr>
        <w:t>https://pubmed.ncbi.nlm.nih.gov/42648775/</w:t>
      </w:r>
    </w:p>
    <w:p>
      <w:pPr>
        <w:pStyle w:val="Heading2"/>
      </w:pPr>
      <w:r>
        <w:t>Implementierung eines Care-Bundle für intracerebrale Blutungen in Nordengland</w:t>
      </w:r>
    </w:p>
    <w:p>
      <w:r>
        <w:rPr>
          <w:i/>
          <w:color w:val="666666"/>
          <w:sz w:val="18"/>
        </w:rPr>
        <w:t>Brunton L et al.  ·  BMJ Open Qual  ·  26.08.2026  ·  PMID 42648747</w:t>
      </w:r>
    </w:p>
    <w:p>
      <w:r>
        <w:t>Qualitative Prozessevaluation der Ausrollung eines ICH-Management-Bundles über sechs Regionen mit 45 Interviews, sechs Beobachtungen und Dokumentenanalyse.</w:t>
      </w:r>
    </w:p>
    <w:p>
      <w:r>
        <w:rPr>
          <w:b/>
        </w:rPr>
        <w:t xml:space="preserve">Ergebnis: </w:t>
      </w:r>
      <w:r>
        <w:t>Begünstigte Faktoren: Interventionsklarheit, Kompatibilität mit Kliniker-Werten, lokale Adaptabilität. Barrieren: mangelnde Fähigkeiten, kulturelle Normen führten zu Überweisungen unabhängig Kriterien, unzureichendes Monitoring der Prozeßziele.</w:t>
      </w:r>
    </w:p>
    <w:p>
      <w:r>
        <w:rPr>
          <w:b/>
          <w:sz w:val="19"/>
        </w:rPr>
        <w:t xml:space="preserve">Übertragbarkeit: </w:t>
      </w:r>
      <w:r>
        <w:rPr>
          <w:sz w:val="19"/>
        </w:rPr>
        <w:t>England, NHS-Kontext – bedingt übertragbar auf deutsches stationäres System</w:t>
      </w:r>
    </w:p>
    <w:p>
      <w:r>
        <w:rPr>
          <w:color w:val="5A7D3A"/>
          <w:sz w:val="18"/>
        </w:rPr>
        <w:t>https://pubmed.ncbi.nlm.nih.gov/42648747/</w:t>
      </w:r>
    </w:p>
    <w:p>
      <w:pPr>
        <w:pStyle w:val="Heading2"/>
      </w:pPr>
      <w:r>
        <w:t>Governance-Konfigurationen koordinierter Gesundheitsförderung in Kommunen</w:t>
      </w:r>
    </w:p>
    <w:p>
      <w:r>
        <w:rPr>
          <w:i/>
          <w:color w:val="666666"/>
          <w:sz w:val="18"/>
        </w:rPr>
        <w:t>Richter H et al.  ·  BMC Health Serv Res  ·  22.08.2026  ·  PMID 42642761</w:t>
      </w:r>
    </w:p>
    <w:p>
      <w:r>
        <w:t>Egozentrische Netzwerkanalyse der Koordinationsmuster von 14 Gesundheitsfachpersonen in deutschen Grundschulen und Nachbarschaften mit 662 erfassten Personen.</w:t>
      </w:r>
    </w:p>
    <w:p>
      <w:r>
        <w:rPr>
          <w:b/>
        </w:rPr>
        <w:t xml:space="preserve">Ergebnis: </w:t>
      </w:r>
      <w:r>
        <w:t>Drei Governance-Konfigurationen identifiziert: ego-abhängige Integration, ersetzbare Koordination und verteilte Integration. Netzwerkstabilität hängt weniger von Akteur-Dichte ab als von Struktur des Brokerage und Formalität alternativer Koordinationspfade.</w:t>
      </w:r>
    </w:p>
    <w:p>
      <w:r>
        <w:rPr>
          <w:b/>
          <w:sz w:val="19"/>
        </w:rPr>
        <w:t xml:space="preserve">Übertragbarkeit: </w:t>
      </w:r>
      <w:r>
        <w:rPr>
          <w:sz w:val="19"/>
        </w:rPr>
        <w:t>Deutschland, kommunale Gesundheitsförderung – direkt übertragbar</w:t>
      </w:r>
    </w:p>
    <w:p>
      <w:r>
        <w:rPr>
          <w:color w:val="5A7D3A"/>
          <w:sz w:val="18"/>
        </w:rPr>
        <w:t>https://pubmed.ncbi.nlm.nih.gov/42642761/</w:t>
      </w:r>
    </w:p>
    <w:p>
      <w:pPr>
        <w:pStyle w:val="Heading2"/>
      </w:pPr>
      <w:r>
        <w:t>Telemedicine in ländlicher Demenzversorgung in Hocheinkommensländern</w:t>
      </w:r>
    </w:p>
    <w:p>
      <w:r>
        <w:rPr>
          <w:i/>
          <w:color w:val="666666"/>
          <w:sz w:val="18"/>
        </w:rPr>
        <w:t>Devarshi R et al.  ·  BMC Health Serv Res  ·  19.08.2026  ·  PMID 42642758</w:t>
      </w:r>
    </w:p>
    <w:p>
      <w:r>
        <w:t>Scoping Review mit 9 Studien aus USA, Australien, Kanada, Griechenland und UK zur Integration von Telemedizin in ländliche Demenzsysteme (2014–2025).</w:t>
      </w:r>
    </w:p>
    <w:p>
      <w:r>
        <w:rPr>
          <w:b/>
        </w:rPr>
        <w:t xml:space="preserve">Ergebnis: </w:t>
      </w:r>
      <w:r>
        <w:t>Wichtige Barrieren: begrenzte Konnektivität, digitale Grundbildung, Gesundheitsbeeinträchtigungen; Begünstigter: Vertrauen zu Providern, organisationale Unterstützung. Strategien: Schulung, dedizierte Koordinationsrollen, Co-Design mit Patienten.</w:t>
      </w:r>
    </w:p>
    <w:p>
      <w:r>
        <w:rPr>
          <w:b/>
          <w:sz w:val="19"/>
        </w:rPr>
        <w:t xml:space="preserve">Übertragbarkeit: </w:t>
      </w:r>
      <w:r>
        <w:rPr>
          <w:sz w:val="19"/>
        </w:rPr>
        <w:t>Hocheinkommensländer, rural – teilweise übertragbar, systemische Unterschiede bei Finanzierung</w:t>
      </w:r>
    </w:p>
    <w:p>
      <w:r>
        <w:rPr>
          <w:color w:val="5A7D3A"/>
          <w:sz w:val="18"/>
        </w:rPr>
        <w:t>https://pubmed.ncbi.nlm.nih.gov/42642758/</w:t>
      </w:r>
    </w:p>
    <w:p>
      <w:pPr>
        <w:pStyle w:val="Heading2"/>
      </w:pPr>
      <w:r>
        <w:t>Überdiagnose in Krebsscreening: Perspektiven von Gesundheitsfachpersonen</w:t>
      </w:r>
    </w:p>
    <w:p>
      <w:r>
        <w:rPr>
          <w:i/>
          <w:color w:val="666666"/>
          <w:sz w:val="18"/>
        </w:rPr>
        <w:t>Piessens V et al.  ·  BMC Health Serv Res  ·  23.07.2026  ·  PMID 42642748</w:t>
      </w:r>
    </w:p>
    <w:p>
      <w:r>
        <w:t>Qualitative Interviews mit 34 Gesundheitsfachpersonen in Flandern zur Wahrnehmung und zum Umgang mit Überdiagnose in Brust-, Lungen- und Prostata-Screening.</w:t>
      </w:r>
    </w:p>
    <w:p>
      <w:r>
        <w:rPr>
          <w:b/>
        </w:rPr>
        <w:t xml:space="preserve">Ergebnis: </w:t>
      </w:r>
      <w:r>
        <w:t>Drei Positionen: RoutineScreening (Überdiagnose ignoriert), Determined Screening (Vorteile betont, Überdiagnose marginalisiert) und Cautious Screening (Überdiagnose kritisch). Begünstigte Faktoren für reflektiertes Handeln: umfassendes Verständnis von Nutzen und Schaden.</w:t>
      </w:r>
    </w:p>
    <w:p>
      <w:r>
        <w:rPr>
          <w:b/>
          <w:sz w:val="19"/>
        </w:rPr>
        <w:t xml:space="preserve">Übertragbarkeit: </w:t>
      </w:r>
      <w:r>
        <w:rPr>
          <w:sz w:val="19"/>
        </w:rPr>
        <w:t>Belgien, Sozialversicherungssystem – gut übertragbar auf Deutschland</w:t>
      </w:r>
    </w:p>
    <w:p>
      <w:r>
        <w:rPr>
          <w:color w:val="5A7D3A"/>
          <w:sz w:val="18"/>
        </w:rPr>
        <w:t>https://pubmed.ncbi.nlm.nih.gov/42642748/</w:t>
      </w:r>
    </w:p>
    <w:p>
      <w:pPr>
        <w:pStyle w:val="Heading1"/>
      </w:pPr>
      <w:r>
        <w:t>Aufgenommen am 26.08.2026</w:t>
      </w:r>
    </w:p>
    <w:p>
      <w:pPr>
        <w:pStyle w:val="Heading2"/>
      </w:pPr>
      <w:r>
        <w:t>Digitale Gesundheitsanwendungen: Unterschiede bei sozioökonomisch benachteiligten Chroniker-Patienten in den Niederlanden</w:t>
      </w:r>
    </w:p>
    <w:p>
      <w:r>
        <w:rPr>
          <w:i/>
          <w:color w:val="666666"/>
          <w:sz w:val="18"/>
        </w:rPr>
        <w:t>Standaar LMB et al.  ·  Inquiry  ·  25.08.2026  ·  PMID 42641147</w:t>
      </w:r>
    </w:p>
    <w:p>
      <w:r>
        <w:t>Querschnittsstudie zur Nutzung von fünf e-Health-Anwendungen (Websites, Apps, Wearables, Patientenportale, digitale Kommunikation) bei 1.517 Niederländern mit chronischen Erkrankungen in Abhängigkeit vom Bildungsattainment.</w:t>
      </w:r>
    </w:p>
    <w:p>
      <w:r>
        <w:rPr>
          <w:b/>
        </w:rPr>
        <w:t xml:space="preserve">Ergebnis: </w:t>
      </w:r>
      <w:r>
        <w:t>Personen mit niedriger Bildung nutzten signifikant weniger Websites (OR 4,78), Apps (OR 2,88), Wearables (OR 2,12) und Patientenportale (OR 3,24) als Hochgebildete. Hochgebildete waren eher zum E-Health-Einsatz geneigt (RRR 2,21) und weniger unsicher (RRR 0,56). Digitale Angebote erreichen nicht alle Patientengruppen gleich.</w:t>
      </w:r>
    </w:p>
    <w:p>
      <w:r>
        <w:rPr>
          <w:b/>
          <w:sz w:val="19"/>
        </w:rPr>
        <w:t xml:space="preserve">Übertragbarkeit: </w:t>
      </w:r>
      <w:r>
        <w:rPr>
          <w:sz w:val="19"/>
        </w:rPr>
        <w:t>Niederlande, vergleichbares Sozialversicherungssystem mit ähnlichen e-Health-Hürden</w:t>
      </w:r>
    </w:p>
    <w:p>
      <w:r>
        <w:rPr>
          <w:color w:val="5A7D3A"/>
          <w:sz w:val="18"/>
        </w:rPr>
        <w:t>https://pubmed.ncbi.nlm.nih.gov/42641147/</w:t>
      </w:r>
    </w:p>
    <w:p>
      <w:pPr>
        <w:pStyle w:val="Heading2"/>
      </w:pPr>
      <w:r>
        <w:t>Determinanten antimikrobieller Verschreibungsmuster in der pädiatrischen Ambulantversorgung in Ghana</w:t>
      </w:r>
    </w:p>
    <w:p>
      <w:r>
        <w:rPr>
          <w:i/>
          <w:color w:val="666666"/>
          <w:sz w:val="18"/>
        </w:rPr>
        <w:t>Aduful AK et al.  ·  BMJ Paediatr Open  ·  21.08.2026  ·  PMID 42629162</w:t>
      </w:r>
    </w:p>
    <w:p>
      <w:r>
        <w:t>Retrospektive Analyse von 3.244 Antibiotikaverordnungen aus 16.555 pädiatrischen Ambulanzkonsultationen in Ghana zur Assoziation von Patienten- und Anbietermerkmalen mit Verschreibungsangemessenheit.</w:t>
      </w:r>
    </w:p>
    <w:p>
      <w:r>
        <w:rPr>
          <w:b/>
        </w:rPr>
        <w:t xml:space="preserve">Ergebnis: </w:t>
      </w:r>
      <w:r>
        <w:t>Männliches Geschlecht war mit Verordnung ohne Indikation assoziiert (p=0,007); ältere Kinder und Patienten mit Fieber erhielten seltener unangemessene Antibiotika (p=0,030, p=0,036). Spezialisierte Pflegekräfte und Physician Assistants zeigten mehr unangemessene Verordnungen als Assistenzärzte (p&lt;0,001, p=0,005); medizinische Offiziere und Resident Doctors verschrieben angemessenere Dosierungen und Dauern.</w:t>
      </w:r>
    </w:p>
    <w:p>
      <w:r>
        <w:rPr>
          <w:b/>
          <w:sz w:val="19"/>
        </w:rPr>
        <w:t xml:space="preserve">Übertragbarkeit: </w:t>
      </w:r>
      <w:r>
        <w:rPr>
          <w:sz w:val="19"/>
        </w:rPr>
        <w:t>Nur bedingt: Ressourcenlimitiertes System mit anderer Personalstruktur als Deutschland</w:t>
      </w:r>
    </w:p>
    <w:p>
      <w:r>
        <w:rPr>
          <w:color w:val="5A7D3A"/>
          <w:sz w:val="18"/>
        </w:rPr>
        <w:t>https://pubmed.ncbi.nlm.nih.gov/42629162/</w:t>
      </w:r>
    </w:p>
    <w:p>
      <w:pPr>
        <w:pStyle w:val="Heading2"/>
      </w:pPr>
      <w:r>
        <w:t>Standardisiertes Messinstrument für patientenberichtete Soziodemografie in deutschen Gesundheitsstudien</w:t>
      </w:r>
    </w:p>
    <w:p>
      <w:r>
        <w:rPr>
          <w:i/>
          <w:color w:val="666666"/>
          <w:sz w:val="18"/>
        </w:rPr>
        <w:t>Boczor S et al.  ·  BMC Med Res Methodol  ·  20.08.2026  ·  PMID 42625156</w:t>
      </w:r>
    </w:p>
    <w:p>
      <w:r>
        <w:t>Entwicklung und Evaluation eines praktikablen Standardinstruments zur Erfassung von Patientensoziodemografie in Gesundheitsstudien durch Expertenpanel, Fokusgruppe und Pretests an 290 Patienten in einer deutschen Universitätsklinik.</w:t>
      </w:r>
    </w:p>
    <w:p>
      <w:r>
        <w:rPr>
          <w:b/>
        </w:rPr>
        <w:t xml:space="preserve">Ergebnis: </w:t>
      </w:r>
      <w:r>
        <w:t>Mit 290 Studienteilnehmern (51% der 574 angesprochenen Patienten, Median 40 Jahre, 55% weiblich) erreichte das Instrument Akzeptanz: 66% hielten die Länge für angemessen, 96% fanden es verständlich. Sieben Fragen zu Einkommenssituation zeigten Klärungsbedarf und wurden überarbeitet. Finale Instrument erfasst 14 standardisierte Variablen zu biologischem Geschlecht, Geburt, Familienstand, Haushalt, Bildung, Beruf und soziodemografischen Merkmalen.</w:t>
      </w:r>
    </w:p>
    <w:p>
      <w:r>
        <w:rPr>
          <w:b/>
          <w:sz w:val="19"/>
        </w:rPr>
        <w:t xml:space="preserve">Übertragbarkeit: </w:t>
      </w:r>
      <w:r>
        <w:rPr>
          <w:sz w:val="19"/>
        </w:rPr>
        <w:t>Deutschland, Universitätsmedizin mit patientenzentriertem Ansatz zur Versorgungsforschung</w:t>
      </w:r>
    </w:p>
    <w:p>
      <w:r>
        <w:rPr>
          <w:color w:val="5A7D3A"/>
          <w:sz w:val="18"/>
        </w:rPr>
        <w:t>https://pubmed.ncbi.nlm.nih.gov/42625156/</w:t>
      </w:r>
    </w:p>
    <w:p>
      <w:pPr>
        <w:pStyle w:val="Heading1"/>
      </w:pPr>
      <w:r>
        <w:t>Aufgenommen am 25.08.2026</w:t>
      </w:r>
    </w:p>
    <w:p>
      <w:pPr>
        <w:pStyle w:val="Heading2"/>
      </w:pPr>
      <w:r>
        <w:t>Sterblichkeit bei akuter Lebererkrankung in England: nationale Kohortenstudie</w:t>
      </w:r>
    </w:p>
    <w:p>
      <w:r>
        <w:rPr>
          <w:i/>
          <w:color w:val="666666"/>
          <w:sz w:val="18"/>
        </w:rPr>
        <w:t>Campbell C et al.  ·  Eur J Intern Med  ·  24.08.2026  ·  PMID 42637631</w:t>
      </w:r>
    </w:p>
    <w:p>
      <w:r>
        <w:t>Studie zur Langzeitsterblichkeit von 82.402 Patienten mit chronischer Lebererkrankung nach erstem Notfallaufenthalt in englischen Krankenhäusern (2012-2019).</w:t>
      </w:r>
    </w:p>
    <w:p>
      <w:r>
        <w:rPr>
          <w:b/>
        </w:rPr>
        <w:t xml:space="preserve">Ergebnis: </w:t>
      </w:r>
      <w:r>
        <w:t>5-Jahres-Mortalität 59,9%; Median-Überlebenszeit 2,72 Jahre (95%-KI 2,66-2,79). Regional erhöhte Mortalität außerhalb Londons (adjHR 1,06-1,19); Encephalopathie (adjHR 1,70), Aszites (adjHR 1,64) und gastrointestinale Blutung (adjHR 1,10) mit erhöhter Mortalität assoziiert.</w:t>
      </w:r>
    </w:p>
    <w:p>
      <w:r>
        <w:rPr>
          <w:b/>
          <w:sz w:val="19"/>
        </w:rPr>
        <w:t xml:space="preserve">Übertragbarkeit: </w:t>
      </w:r>
      <w:r>
        <w:rPr>
          <w:sz w:val="19"/>
        </w:rPr>
        <w:t>Englische Routinedaten; vergleichbar mit deutschem NHS-ähnlichen System in Versorgungssteuerung und Datenqualität.</w:t>
      </w:r>
    </w:p>
    <w:p>
      <w:r>
        <w:rPr>
          <w:color w:val="5A7D3A"/>
          <w:sz w:val="18"/>
        </w:rPr>
        <w:t>https://pubmed.ncbi.nlm.nih.gov/42637631/</w:t>
      </w:r>
    </w:p>
    <w:p>
      <w:pPr>
        <w:pStyle w:val="Heading2"/>
      </w:pPr>
      <w:r>
        <w:t>Apotheken-Interventionen bei niedriger Health Literacy: systematische Übersicht mit Co-Design-Fokus</w:t>
      </w:r>
    </w:p>
    <w:p>
      <w:r>
        <w:rPr>
          <w:i/>
          <w:color w:val="666666"/>
          <w:sz w:val="18"/>
        </w:rPr>
        <w:t>Suppiah SD et al.  ·  Res Social Adm Pharm  ·  22.08.2026  ·  PMID 42637584</w:t>
      </w:r>
    </w:p>
    <w:p>
      <w:r>
        <w:t>Systematische Übersicht von neun RCTs (13 Publikationen) zu Apotheken-Interventionen für chronisch kranke Erwachsene mit eingeschränkter Health Literacy.</w:t>
      </w:r>
    </w:p>
    <w:p>
      <w:r>
        <w:rPr>
          <w:b/>
        </w:rPr>
        <w:t xml:space="preserve">Ergebnis: </w:t>
      </w:r>
      <w:r>
        <w:t>Medikamentenverstehen verbesserte sich konsistent, besonders durch patientenzentrierte Medikamentenetiketten; Adherence-Effekte waren inkonsistent und nicht nachhaltig; Care-Transition-Interventionen zeigten teilweise Reduktion ungünstiger Events. Co-Design-Elemente waren in nur einem Trial dokumentiert. 10 Studien, alle niedriges bis moderates Bias-Risiko.</w:t>
      </w:r>
    </w:p>
    <w:p>
      <w:r>
        <w:rPr>
          <w:b/>
          <w:sz w:val="19"/>
        </w:rPr>
        <w:t xml:space="preserve">Übertragbarkeit: </w:t>
      </w:r>
      <w:r>
        <w:rPr>
          <w:sz w:val="19"/>
        </w:rPr>
        <w:t>Australisch-singapurisches Autorenteam; Konzepte zu Patient-zentrierten Interventionen auf deutschsprachigen Raum übertragbar.</w:t>
      </w:r>
    </w:p>
    <w:p>
      <w:r>
        <w:rPr>
          <w:color w:val="5A7D3A"/>
          <w:sz w:val="18"/>
        </w:rPr>
        <w:t>https://pubmed.ncbi.nlm.nih.gov/42637584/</w:t>
      </w:r>
    </w:p>
    <w:p>
      <w:pPr>
        <w:pStyle w:val="Heading1"/>
      </w:pPr>
      <w:r>
        <w:t>Aufgenommen am 24.08.2026</w:t>
      </w:r>
    </w:p>
    <w:p>
      <w:pPr>
        <w:pStyle w:val="Heading2"/>
      </w:pPr>
      <w:r>
        <w:t>Kontinuität der Betreuung und Risiken von Krankenhausaufenthalten und Mortalität bei COPD: eine landesweite Kohortenstudie</w:t>
      </w:r>
    </w:p>
    <w:p>
      <w:r>
        <w:rPr>
          <w:i/>
          <w:color w:val="666666"/>
          <w:sz w:val="18"/>
        </w:rPr>
        <w:t>Ko J et al.  ·  Int J Chron Obstruct Pulmon Dis  ·  18.08.2026  ·  PMID 42633418</w:t>
      </w:r>
    </w:p>
    <w:p>
      <w:r>
        <w:t>Eine südkoreanische Kohortenstudie mit 29.316 COPD-Neudiagnosen untersucht den Einfluss der Kontinuität der Betreuung auf COPD-Exazerbationen und Sterblichkeit.</w:t>
      </w:r>
    </w:p>
    <w:p>
      <w:r>
        <w:rPr>
          <w:b/>
        </w:rPr>
        <w:t xml:space="preserve">Ergebnis: </w:t>
      </w:r>
      <w:r>
        <w:t>Niedrige Kontinuitätsscores waren mit erhöhtem Risiko für COPD-Exazerbations-Krankenhausaufenthalte (HR 1,63; 95 % KI 1,45–1,83) und Gesamtmortalität (HR 1,25; 95 % KI 1,11–1,40) verbunden. Fragmentierte ambulante Betreuung erhöhte präventable Krankenhausaufenthalte deutlich.</w:t>
      </w:r>
    </w:p>
    <w:p>
      <w:r>
        <w:rPr>
          <w:b/>
          <w:sz w:val="19"/>
        </w:rPr>
        <w:t xml:space="preserve">Übertragbarkeit: </w:t>
      </w:r>
      <w:r>
        <w:rPr>
          <w:sz w:val="19"/>
        </w:rPr>
        <w:t>Südkorea – Sozialversicherungssystem, hohe Übertragbarkeit auf Deutschland.</w:t>
      </w:r>
    </w:p>
    <w:p>
      <w:r>
        <w:rPr>
          <w:color w:val="5A7D3A"/>
          <w:sz w:val="18"/>
        </w:rPr>
        <w:t>https://pubmed.ncbi.nlm.nih.gov/42633418/</w:t>
      </w:r>
    </w:p>
    <w:p>
      <w:pPr>
        <w:pStyle w:val="Heading2"/>
      </w:pPr>
      <w:r>
        <w:t>Einfluss von Alter, Gebrechlichkeit und Komorbiditäten auf Überleben nach Mitralklappenreparatur in Deutschland</w:t>
      </w:r>
    </w:p>
    <w:p>
      <w:r>
        <w:rPr>
          <w:i/>
          <w:color w:val="666666"/>
          <w:sz w:val="18"/>
        </w:rPr>
        <w:t>Piayda K et al.  ·  Int J Cardiol Heart Vasc  ·  12.08.2026  ·  PMID 42633073</w:t>
      </w:r>
    </w:p>
    <w:p>
      <w:r>
        <w:t>Eine deutsche Routinedatenstudie mit 4.896 Patienten untersucht Prognosen nach minimalinvasiver Mitralklappenreparatur hinsichtlich Alter, Gebrechlichkeit und Komorbiditäten.</w:t>
      </w:r>
    </w:p>
    <w:p>
      <w:r>
        <w:rPr>
          <w:b/>
        </w:rPr>
        <w:t xml:space="preserve">Ergebnis: </w:t>
      </w:r>
      <w:r>
        <w:t>Sehr alte Patienten (80–99 Jahre): OR 1,2 (95 % KI 1,07–1,49). Mit Pflegegrad 1–3: OR 1,43–2,09. Mit ≥3 Komorbiditäten: OR 2,82 (95 % KI 2,37–3,36). Medizinische Gesamtausgaben blieben gleich, aber Herzinsuffizienz-Krankenhausaufenthalte sanken.</w:t>
      </w:r>
    </w:p>
    <w:p>
      <w:r>
        <w:rPr>
          <w:b/>
          <w:sz w:val="19"/>
        </w:rPr>
        <w:t xml:space="preserve">Übertragbarkeit: </w:t>
      </w:r>
      <w:r>
        <w:rPr>
          <w:sz w:val="19"/>
        </w:rPr>
        <w:t>Deutsche Routinedaten (BARMER Krankenkasse), direkt übertragbar.</w:t>
      </w:r>
    </w:p>
    <w:p>
      <w:r>
        <w:rPr>
          <w:color w:val="5A7D3A"/>
          <w:sz w:val="18"/>
        </w:rPr>
        <w:t>https://pubmed.ncbi.nlm.nih.gov/42633073/</w:t>
      </w:r>
    </w:p>
    <w:p>
      <w:pPr>
        <w:pStyle w:val="Heading1"/>
      </w:pPr>
      <w:r>
        <w:t>Aufgenommen am 23.08.2026</w:t>
      </w:r>
    </w:p>
    <w:p>
      <w:pPr>
        <w:pStyle w:val="Heading2"/>
      </w:pPr>
      <w:r>
        <w:t>Spiritual Distress bei erwachsenen Patienten vor elektiver Chirurgie: Qualitative Studie</w:t>
      </w:r>
    </w:p>
    <w:p>
      <w:r>
        <w:rPr>
          <w:i/>
          <w:color w:val="666666"/>
          <w:sz w:val="18"/>
        </w:rPr>
        <w:t>Makar KG et al.  ·  Surgery  ·  03.08.2026  ·  PMID 42632276</w:t>
      </w:r>
    </w:p>
    <w:p>
      <w:r>
        <w:t>Qualitative Studie zu spiritueller Belastung und deren Auswirkungen auf die präoperative Erfahrung bei Patienten mit geplanten Eingriffen.</w:t>
      </w:r>
    </w:p>
    <w:p>
      <w:r>
        <w:rPr>
          <w:b/>
        </w:rPr>
        <w:t xml:space="preserve">Ergebnis: </w:t>
      </w:r>
      <w:r>
        <w:t>23 von 29 Patienten (79,3%) zeigten spirituelle Belastung, 6 Patienten (20,7%) spirituelles Wohlbefinden. Spirituell belastete Patienten äußerten signifikant mehr Angst und Komplikationserwartungen, während spirituell stabile Patienten Chirurgie als Genesung wahrnahmen. Diese Befunde unterstreichen die Bedeutung routinemäßiger spiritueller Unterstützung in der perioperativen Versorgung.</w:t>
      </w:r>
    </w:p>
    <w:p>
      <w:r>
        <w:rPr>
          <w:b/>
          <w:sz w:val="19"/>
        </w:rPr>
        <w:t xml:space="preserve">Übertragbarkeit: </w:t>
      </w:r>
      <w:r>
        <w:rPr>
          <w:sz w:val="19"/>
        </w:rPr>
        <w:t>Qualitativ und systemunabhängig; konzeptualisiert patientenzentrierte Ergebnisse.</w:t>
      </w:r>
    </w:p>
    <w:p>
      <w:r>
        <w:rPr>
          <w:color w:val="5A7D3A"/>
          <w:sz w:val="18"/>
        </w:rPr>
        <w:t>https://pubmed.ncbi.nlm.nih.gov/42632276/</w:t>
      </w:r>
    </w:p>
    <w:p>
      <w:pPr>
        <w:pStyle w:val="Heading2"/>
      </w:pPr>
      <w:r>
        <w:t>Nicht-englische Sprachpräferenz und ICU-Aufnahmen über Notfallabteilungen: US-Analyse</w:t>
      </w:r>
    </w:p>
    <w:p>
      <w:r>
        <w:rPr>
          <w:i/>
          <w:color w:val="666666"/>
          <w:sz w:val="18"/>
        </w:rPr>
        <w:t>Kelleher DP et al.  ·  J Emerg Nurs  ·  22.08.2026  ·  PMID 42631682</w:t>
      </w:r>
    </w:p>
    <w:p>
      <w:r>
        <w:t>Longitudinale Kohortenstudie zum Vergleich von ICU-Aufnahmen zwischen Patienten mit nicht-englischer Sprachpräferenz und englischsprachigen Patienten.</w:t>
      </w:r>
    </w:p>
    <w:p>
      <w:r>
        <w:rPr>
          <w:b/>
        </w:rPr>
        <w:t xml:space="preserve">Ergebnis: </w:t>
      </w:r>
      <w:r>
        <w:t>Patienten mit nicht-englischer Sprachpräferenz hatten 99% höhere Aufnahmewahrscheinlichkeit auf die Intensivstation (OR = 1,99, 95% KI 1,63-2,42; p &lt; 0,001). Kein signifikanter Unterschied bei Verweildauer auf ICU oder im Krankenhaus. Ergebnis deutet auf diskriminierende oder ungleiche Zugangssteuerungsmechanismen hin.</w:t>
      </w:r>
    </w:p>
    <w:p>
      <w:r>
        <w:rPr>
          <w:b/>
          <w:sz w:val="19"/>
        </w:rPr>
        <w:t xml:space="preserve">Übertragbarkeit: </w:t>
      </w:r>
      <w:r>
        <w:rPr>
          <w:sz w:val="19"/>
        </w:rPr>
        <w:t>USA-Daten, Fragestellung aber zur gesundheitlichen Chancengleichheit systemunabhängig.</w:t>
      </w:r>
    </w:p>
    <w:p>
      <w:r>
        <w:rPr>
          <w:color w:val="5A7D3A"/>
          <w:sz w:val="18"/>
        </w:rPr>
        <w:t>https://pubmed.ncbi.nlm.nih.gov/42631682/</w:t>
      </w:r>
    </w:p>
    <w:p>
      <w:pPr>
        <w:pStyle w:val="Heading2"/>
      </w:pPr>
      <w:r>
        <w:t>ABC-Pathway-Adherence und kardiovaskuläre Ereignisse bei Vorhofflimmern: Asiatische Register-Analyse</w:t>
      </w:r>
    </w:p>
    <w:p>
      <w:r>
        <w:rPr>
          <w:i/>
          <w:color w:val="666666"/>
          <w:sz w:val="18"/>
        </w:rPr>
        <w:t>Bucci T et al.  ·  JACC Asia  ·  30.07.2026  ·  PMID 42631669</w:t>
      </w:r>
    </w:p>
    <w:p>
      <w:r>
        <w:t>Clusteranalyse von 3.468 asiatischen Patienten mit Vorhofflimmern zur Identifikation klinischer Phänotypen und zum Nachweis der Assoziation zwischen ABC-Pathway-Therapieadhärenz und Outcomes.</w:t>
      </w:r>
    </w:p>
    <w:p>
      <w:r>
        <w:rPr>
          <w:b/>
        </w:rPr>
        <w:t xml:space="preserve">Ergebnis: </w:t>
      </w:r>
      <w:r>
        <w:t>Fünf Cluster identifiziert mit gestuftem Risiko; ABC-Pathway-Adhärenz war mit niedrigerem Primärergebnis-Risiko assoziiert (HR 0,53, 95% KI 0,38-0,74), unabhängig vom Phänotyp. Ältere Patienten mit hoher kardiovaskulärer Belastung oder Herzinsuffizienz zeigten höchstes Risiko (HR 3,33-4,15 vs. junge Patientengruppe).</w:t>
      </w:r>
    </w:p>
    <w:p>
      <w:r>
        <w:rPr>
          <w:b/>
          <w:sz w:val="19"/>
        </w:rPr>
        <w:t xml:space="preserve">Übertragbarkeit: </w:t>
      </w:r>
      <w:r>
        <w:rPr>
          <w:sz w:val="19"/>
        </w:rPr>
        <w:t>Asien-Pazifik; Versorgungsqualität und Stratifikation auch für andere Systeme relevant.</w:t>
      </w:r>
    </w:p>
    <w:p>
      <w:r>
        <w:rPr>
          <w:color w:val="5A7D3A"/>
          <w:sz w:val="18"/>
        </w:rPr>
        <w:t>https://pubmed.ncbi.nlm.nih.gov/42631669/</w:t>
      </w:r>
    </w:p>
    <w:p>
      <w:pPr>
        <w:pStyle w:val="Heading2"/>
      </w:pPr>
      <w:r>
        <w:t>High-Dose High-Intensity Neurorehabilitation nach Schlaganfall: Konsens-Empfehlungen</w:t>
      </w:r>
    </w:p>
    <w:p>
      <w:r>
        <w:rPr>
          <w:i/>
          <w:color w:val="666666"/>
          <w:sz w:val="18"/>
        </w:rPr>
        <w:t>Branscheidt M et al.  ·  Int J Stroke  ·  22.08.2026  ·  PMID 42631575</w:t>
      </w:r>
    </w:p>
    <w:p>
      <w:r>
        <w:t>Internationale Konsensusfindung zur Identifizierung von Barrieren und Lösungen für die Umsetzung von intensiver Schlaganfall-Neurorehabilitation.</w:t>
      </w:r>
    </w:p>
    <w:p>
      <w:r>
        <w:rPr>
          <w:b/>
        </w:rPr>
        <w:t xml:space="preserve">Ergebnis: </w:t>
      </w:r>
      <w:r>
        <w:t>Vier Hauptbarrieren für Umsetzung: (1) Wissenslücke zu HDHI-Mechanismen, (2) Lieferketten- und Kapazitätsbeschränkungen, (3) Widerstand trotz Evidenz durch Zeitdruck und mangelnde administrative Unterstützung, (4) systemische Enabler unzureichend. Empfehlungen: Home-basierte Hybrid-Pathways, Reimbursement-Alignment und Infrastruktur für Kontinuität.</w:t>
      </w:r>
    </w:p>
    <w:p>
      <w:r>
        <w:rPr>
          <w:b/>
          <w:sz w:val="19"/>
        </w:rPr>
        <w:t xml:space="preserve">Übertragbarkeit: </w:t>
      </w:r>
      <w:r>
        <w:rPr>
          <w:sz w:val="19"/>
        </w:rPr>
        <w:t>Internationale Expertengruppe; Implementierungsforschung systemunabhängig.</w:t>
      </w:r>
    </w:p>
    <w:p>
      <w:r>
        <w:rPr>
          <w:color w:val="5A7D3A"/>
          <w:sz w:val="18"/>
        </w:rPr>
        <w:t>https://pubmed.ncbi.nlm.nih.gov/42631575/</w:t>
      </w:r>
    </w:p>
    <w:p>
      <w:pPr>
        <w:pStyle w:val="Heading1"/>
      </w:pPr>
      <w:r>
        <w:t>Aufgenommen am 22.08.2026</w:t>
      </w:r>
    </w:p>
    <w:p>
      <w:pPr>
        <w:pStyle w:val="Heading2"/>
      </w:pPr>
      <w:r>
        <w:t>Nosokomiale Infektionen und Antibiotikaresistenz im asiatischen Überwachungsnetz (ACORN-HAI)</w:t>
      </w:r>
    </w:p>
    <w:p>
      <w:r>
        <w:rPr>
          <w:i/>
          <w:color w:val="666666"/>
          <w:sz w:val="18"/>
        </w:rPr>
        <w:t>Mo Y et al.  ·  Lancet Infect Dis  ·  21.08.2026  ·  PMID 42628558</w:t>
      </w:r>
    </w:p>
    <w:p>
      <w:r>
        <w:t>Multinationale prospektive Kohortenstudie in 41 Krankenhäusern über 19 Länder in Asien zur Epidemiologie antimikrobieller Resistenz bei Healthcare-assoziierten Infektionen.</w:t>
      </w:r>
    </w:p>
    <w:p>
      <w:r>
        <w:rPr>
          <w:b/>
        </w:rPr>
        <w:t xml:space="preserve">Ergebnis: </w:t>
      </w:r>
      <w:r>
        <w:t>Von 9.642 analysierten Infektionsepisoden waren 73,7% mit resistenten Bakterien assoziiert. Gesamtsterblichkeit bei Gram-negativen Resistenzen: 37,7% (AMR) vs. 40,6% (Multiresistenz). Carbapenem-resistente Acinetobacter (CRA) und Enterobacterales (CRE) zeigten höchste Mortalität: CRA 51,3%, CRE 48,4%; attributable Mortalität CRA 19,4% (95% CI 14,1–24,7), CRE 16,2% (95% CI 12,8–19,6).</w:t>
      </w:r>
    </w:p>
    <w:p>
      <w:r>
        <w:rPr>
          <w:b/>
          <w:sz w:val="19"/>
        </w:rPr>
        <w:t xml:space="preserve">Übertragbarkeit: </w:t>
      </w:r>
      <w:r>
        <w:rPr>
          <w:sz w:val="19"/>
        </w:rPr>
        <w:t>Asiatische Länder mit Ressourcenengpässen, aber Daten zur Antimikrobial Stewardship systemunabhängig relevant</w:t>
      </w:r>
    </w:p>
    <w:p>
      <w:r>
        <w:rPr>
          <w:color w:val="5A7D3A"/>
          <w:sz w:val="18"/>
        </w:rPr>
        <w:t>https://pubmed.ncbi.nlm.nih.gov/42628558/</w:t>
      </w:r>
    </w:p>
    <w:p>
      <w:pPr>
        <w:pStyle w:val="Heading2"/>
      </w:pPr>
      <w:r>
        <w:t>Auswirkungen von nationaler kognitiver Screening auf Demenzversorgung und Hospitalisierung in Südkorea</w:t>
      </w:r>
    </w:p>
    <w:p>
      <w:r>
        <w:rPr>
          <w:i/>
          <w:color w:val="666666"/>
          <w:sz w:val="18"/>
        </w:rPr>
        <w:t>Lim JH et al.  ·  Alzheimers Dement  ·  Aug. 2026  ·  PMID 42625505</w:t>
      </w:r>
    </w:p>
    <w:p>
      <w:r>
        <w:t>Südkorea: Kohortenstudie zur Auswirkung eines 2007 eingeführten nationalen kognitiven Screening-Programms auf nachfolgende Demenzversorgung und Hospitalisierung.</w:t>
      </w:r>
    </w:p>
    <w:p>
      <w:r>
        <w:rPr>
          <w:b/>
        </w:rPr>
        <w:t xml:space="preserve">Ergebnis: </w:t>
      </w:r>
      <w:r>
        <w:t>Kognitive Früherkennung war mit einer 37% höheren Wahrscheinlichkeit für Demenzbehandlung innerhalb von 2 Jahren (p&lt;0,001) und einem 12% niedrigerem Risiko für demenzbedingte Hospitalisierung innerhalb von 10 Jahren assoziiert. Baseline: 1,4% erhielten Demenzbehandlung, 3,0% wurden hospitalisiert.</w:t>
      </w:r>
    </w:p>
    <w:p>
      <w:r>
        <w:rPr>
          <w:b/>
          <w:sz w:val="19"/>
        </w:rPr>
        <w:t xml:space="preserve">Übertragbarkeit: </w:t>
      </w:r>
      <w:r>
        <w:rPr>
          <w:sz w:val="19"/>
        </w:rPr>
        <w:t>Asiatisches System mit Screening-Struktur, aber steuerfinanziert - Fragestellung zur Frühdiagnose systemunabhängig relevant</w:t>
      </w:r>
    </w:p>
    <w:p>
      <w:r>
        <w:rPr>
          <w:color w:val="5A7D3A"/>
          <w:sz w:val="18"/>
        </w:rPr>
        <w:t>https://pubmed.ncbi.nlm.nih.gov/42625505/</w:t>
      </w:r>
    </w:p>
    <w:p>
      <w:pPr>
        <w:pStyle w:val="Heading2"/>
      </w:pPr>
      <w:r>
        <w:t>Nutzerbewertung KI-generierter und menschlicher Antworten in digitaler Gesundheitskommunikation</w:t>
      </w:r>
    </w:p>
    <w:p>
      <w:r>
        <w:rPr>
          <w:i/>
          <w:color w:val="666666"/>
          <w:sz w:val="18"/>
        </w:rPr>
        <w:t>Schulz C et al.  ·  BMC Health Serv Res  ·  19.08.2026  ·  PMID 42618915</w:t>
      </w:r>
    </w:p>
    <w:p>
      <w:r>
        <w:t>Deutschland: Paired-Survey-Studie, in der Nutzer ChatGPT-4-generierte und von einem Physiotherapeuten verfasste Antworten auf Gesundheitsfragen vergleichend bewerteten.</w:t>
      </w:r>
    </w:p>
    <w:p>
      <w:r>
        <w:rPr>
          <w:b/>
        </w:rPr>
        <w:t xml:space="preserve">Ergebnis: </w:t>
      </w:r>
      <w:r>
        <w:t>Über die meisten Kriterien hinweg wurde die KI-Antwort besser bewertet als die menschliche, besonders bei Empathie und Verständlichkeit (alle p&lt;0,001). Expert-Rating favorisierte auch die KI-Antwort in Bezug auf Richtigkeit und Vollständigkeit, obwohl Längen und Struktur differierten. Teilnehmerzahl n=224.</w:t>
      </w:r>
    </w:p>
    <w:p>
      <w:r>
        <w:rPr>
          <w:b/>
          <w:sz w:val="19"/>
        </w:rPr>
        <w:t xml:space="preserve">Übertragbarkeit: </w:t>
      </w:r>
      <w:r>
        <w:rPr>
          <w:sz w:val="19"/>
        </w:rPr>
        <w:t>Deutsche Studie in Healthcare-System kontextualisiert; Aussage zu Nutzerpräferenz systemabhängig, aber zur Kommunikationsqualität relevant</w:t>
      </w:r>
    </w:p>
    <w:p>
      <w:r>
        <w:rPr>
          <w:color w:val="5A7D3A"/>
          <w:sz w:val="18"/>
        </w:rPr>
        <w:t>https://pubmed.ncbi.nlm.nih.gov/42618915/</w:t>
      </w:r>
    </w:p>
    <w:p>
      <w:pPr>
        <w:pStyle w:val="Heading1"/>
      </w:pPr>
      <w:r>
        <w:t>Aufgenommen am 21.08.2026</w:t>
      </w:r>
    </w:p>
    <w:p>
      <w:pPr>
        <w:pStyle w:val="Heading2"/>
      </w:pPr>
      <w:r>
        <w:t>Vergütungstyp von Hausärzten und Antibiotikaverordnungen: Analyse von Patienten­wechseln mit Routinedaten</w:t>
      </w:r>
    </w:p>
    <w:p>
      <w:r>
        <w:rPr>
          <w:i/>
          <w:color w:val="666666"/>
          <w:sz w:val="18"/>
        </w:rPr>
        <w:t>Kraft KB et al.  ·  Scand J Prim Health Care  ·  20.08.2026  ·  PMID 42622517</w:t>
      </w:r>
    </w:p>
    <w:p>
      <w:r>
        <w:t>Norwegische Studie zu Auswirkungen verschiedener Vergütungsformen (Fee-for-Service vs. Gehalt) auf die Antibiotikaverordnungen bei Patienten, die die Hausarztpraxis wechselten.</w:t>
      </w:r>
    </w:p>
    <w:p>
      <w:r>
        <w:rPr>
          <w:b/>
        </w:rPr>
        <w:t xml:space="preserve">Ergebnis: </w:t>
      </w:r>
      <w:r>
        <w:t>Patienten, die von einem Allgemeinarzt mit Fee-for-Service zu einem salariierten Arzt wechselten, reduzierten ihre monatliche Antibiotikanutzung um 21 definierte Tagesdosen pro 1000 Patienten (SD=7); umgekehrt erhöhte sich die Nutzung um 85 DDD pro 1000 Patienten (SD=20) beim Wechsel zu Fee-for-Service. Dies deutet darauf hin, dass die Vergütungsform einen signifikanten Effekt auf das Verschreibungsverhalten hat.</w:t>
      </w:r>
    </w:p>
    <w:p>
      <w:r>
        <w:rPr>
          <w:b/>
          <w:sz w:val="19"/>
        </w:rPr>
        <w:t xml:space="preserve">Übertragbarkeit: </w:t>
      </w:r>
      <w:r>
        <w:rPr>
          <w:sz w:val="19"/>
        </w:rPr>
        <w:t>Niederlande, Belgien, Frankreich: vergleichbare Sozialversicherungssysteme mit Capitation und FFS</w:t>
      </w:r>
    </w:p>
    <w:p>
      <w:r>
        <w:rPr>
          <w:color w:val="5A7D3A"/>
          <w:sz w:val="18"/>
        </w:rPr>
        <w:t>https://pubmed.ncbi.nlm.nih.gov/42622517/</w:t>
      </w:r>
    </w:p>
    <w:p>
      <w:pPr>
        <w:pStyle w:val="Heading2"/>
      </w:pPr>
      <w:r>
        <w:t>Übergang von medizinischer zu beruflicher Rehabilitation in Deutschland: Erfahrungen der Rehabilitanden</w:t>
      </w:r>
    </w:p>
    <w:p>
      <w:r>
        <w:rPr>
          <w:i/>
          <w:color w:val="666666"/>
          <w:sz w:val="18"/>
        </w:rPr>
        <w:t>Wengemuth E et al.  ·  Front Rehabil Sci  ·  05.08.2026  ·  PMID 42621103</w:t>
      </w:r>
    </w:p>
    <w:p>
      <w:r>
        <w:t>Explorative Mixed-Methods-Studie über Erfahrungen von Rehabilitanden beim Übergang von medizinischer zu beruflicher Rehabilitation in Deutschland mit quantitativen und qualitativen Datenerfassungsmethoden.</w:t>
      </w:r>
    </w:p>
    <w:p>
      <w:r>
        <w:rPr>
          <w:b/>
        </w:rPr>
        <w:t xml:space="preserve">Ergebnis: </w:t>
      </w:r>
      <w:r>
        <w:t>Von 61 Befragten berichteten etwa 50 %, über berufliche Rehabilitation während medizinischer Rehabilitation informiert worden zu sein; deutlich weniger erhielten praktische Unterstützung (z.B. Antragshilfe). Hausärzte und Fachärzte wurden von etwa 60 % als unterstützend empfunden, Arbeitgeber als am wenigsten hilfreich. Knapp zwei Drittel fühlten sich selbstbestimmt bei der Wahl und beim Beginn des beruflichen Rehabilitationsprogramms, einige berichteten aber von Druck. Mangelnde Kooperation zwischen Akteuren erschwerte den Übergang.</w:t>
      </w:r>
    </w:p>
    <w:p>
      <w:r>
        <w:rPr>
          <w:b/>
          <w:sz w:val="19"/>
        </w:rPr>
        <w:t xml:space="preserve">Übertragbarkeit: </w:t>
      </w:r>
      <w:r>
        <w:rPr>
          <w:sz w:val="19"/>
        </w:rPr>
        <w:t>Deutsche Routinedaten, deutsches Rehabilitationssystem direkt relevant</w:t>
      </w:r>
    </w:p>
    <w:p>
      <w:r>
        <w:rPr>
          <w:color w:val="5A7D3A"/>
          <w:sz w:val="18"/>
        </w:rPr>
        <w:t>https://pubmed.ncbi.nlm.nih.gov/42621103/</w:t>
      </w:r>
    </w:p>
    <w:p>
      <w:pPr>
        <w:pStyle w:val="Heading2"/>
      </w:pPr>
      <w:r>
        <w:t>Öffentliche Gesundheitskommunikation während COVID-19 in Stockholm: Community-Engagement für Migranten</w:t>
      </w:r>
    </w:p>
    <w:p>
      <w:r>
        <w:rPr>
          <w:i/>
          <w:color w:val="666666"/>
          <w:sz w:val="18"/>
        </w:rPr>
        <w:t>Strand M et al.  ·  BMC Health Serv Res  ·  18.08.2026  ·  PMID 42618922</w:t>
      </w:r>
    </w:p>
    <w:p>
      <w:r>
        <w:t>Qualitative Studie über die Entwicklung und Umsetzung von Krisenkommunikationsmaterialien für migrationsgeprägte Gemeinschaften in Stockholm während der COVID-19-Pandemie.</w:t>
      </w:r>
    </w:p>
    <w:p>
      <w:r>
        <w:rPr>
          <w:b/>
        </w:rPr>
        <w:t xml:space="preserve">Ergebnis: </w:t>
      </w:r>
      <w:r>
        <w:t>Vier Hauptthemen zeigten zeitliche Entwicklung: Frühe Phase fokussierte auf Sprachübersetzung standardisierter Botschaften, verlagerte sich aber zu dialogbasierter Einbindung. Wichtige Erkenntnisse waren Vertrauensaufbau durch Community-Stakeholder, Adressierung struktureller Barrieren statt fehlenden Verständnisses, Stigmabekämpfung und kreative Problemlösung. Viele Fachleute äußerten Bedenken, dass etablierte Netzwerke und gewonnene Erkenntnisse verloren gingen.</w:t>
      </w:r>
    </w:p>
    <w:p>
      <w:r>
        <w:rPr>
          <w:b/>
          <w:sz w:val="19"/>
        </w:rPr>
        <w:t xml:space="preserve">Übertragbarkeit: </w:t>
      </w:r>
      <w:r>
        <w:rPr>
          <w:sz w:val="19"/>
        </w:rPr>
        <w:t>Skandinavien, steuerfinanziert: Erkenntnisse zu Prozessen und Patientenperspektive übertragbar</w:t>
      </w:r>
    </w:p>
    <w:p>
      <w:r>
        <w:rPr>
          <w:color w:val="5A7D3A"/>
          <w:sz w:val="18"/>
        </w:rPr>
        <w:t>https://pubmed.ncbi.nlm.nih.gov/42618922/</w:t>
      </w:r>
    </w:p>
    <w:p>
      <w:pPr>
        <w:pStyle w:val="Heading2"/>
      </w:pPr>
      <w:r>
        <w:t>Abbildung der HoNOS auf die EQ-5D-5L zur QALY-Berechnung in der Psychiatrie</w:t>
      </w:r>
    </w:p>
    <w:p>
      <w:r>
        <w:rPr>
          <w:i/>
          <w:color w:val="666666"/>
          <w:sz w:val="18"/>
        </w:rPr>
        <w:t>Lamu AN et al.  ·  Med Decis Making  ·  13.08.2026  ·  PMID 42596686</w:t>
      </w:r>
    </w:p>
    <w:p>
      <w:r>
        <w:t>Mapping-Studie zur Vorhersage von EQ-5D-5L-Werten aus der Health of the Nation Outcome Scales (HoNOS) bei Erwachsenen mit schweren psychischen Erkrankungen für die gesundheitsökonomische Bewertung.</w:t>
      </w:r>
    </w:p>
    <w:p>
      <w:r>
        <w:rPr>
          <w:b/>
        </w:rPr>
        <w:t xml:space="preserve">Ergebnis: </w:t>
      </w:r>
      <w:r>
        <w:t>Vier ökonometrische Verfahren wurden getestet; das Fractional Regression Model (FRM) zeigte beste Performance. In der 10-fach-Kreuzvalidierung mit deutschen EQ-5D-5L-Werten erreichte FRM: RMSE=0,2204, MAE=0,1622, r²=36,5 %. Das Modell ermöglicht QALY-Schätzungen aus HoNOS-Daten und eröffnet wirtschaftliche Bewertungen von psychischen Gesundheitsinterventionen, wenn nur HoNOS-Informationen verfügbar sind.</w:t>
      </w:r>
    </w:p>
    <w:p>
      <w:r>
        <w:rPr>
          <w:b/>
          <w:sz w:val="19"/>
        </w:rPr>
        <w:t xml:space="preserve">Übertragbarkeit: </w:t>
      </w:r>
      <w:r>
        <w:rPr>
          <w:sz w:val="19"/>
        </w:rPr>
        <w:t>Deutschland, methodisches Instrument für deutschsprachige Gesundheitsökonomie</w:t>
      </w:r>
    </w:p>
    <w:p>
      <w:r>
        <w:rPr>
          <w:color w:val="5A7D3A"/>
          <w:sz w:val="18"/>
        </w:rPr>
        <w:t>https://pubmed.ncbi.nlm.nih.gov/42596686/</w:t>
      </w:r>
    </w:p>
    <w:p>
      <w:pPr>
        <w:pStyle w:val="Heading1"/>
      </w:pPr>
      <w:r>
        <w:t>Aufgenommen am 20.08.2026</w:t>
      </w:r>
    </w:p>
    <w:p>
      <w:pPr>
        <w:pStyle w:val="Heading2"/>
      </w:pPr>
      <w:r>
        <w:t>Vorbereitung auf zukünftige Pandemien: Befähigung und Unterstützungsbedarf des Pflegepersonals im Querschnitt</w:t>
      </w:r>
    </w:p>
    <w:p>
      <w:r>
        <w:rPr>
          <w:i/>
          <w:color w:val="666666"/>
          <w:sz w:val="18"/>
        </w:rPr>
        <w:t>Noorland SA et al.  ·  Nurs Outlook  ·  19.08.2026  ·  PMID 42617414</w:t>
      </w:r>
    </w:p>
    <w:p>
      <w:r>
        <w:t>Eine niederländische Querschnittsstudie untersuchte die mentale Leistungsfähigkeit des Pflegepersonals für zukünftige Pandemien, deren psychische Gesundheit nach COVID-19 und deren Vorlieben für psychosoziale Unterstützung.</w:t>
      </w:r>
    </w:p>
    <w:p>
      <w:r>
        <w:rPr>
          <w:b/>
        </w:rPr>
        <w:t xml:space="preserve">Ergebnis: </w:t>
      </w:r>
      <w:r>
        <w:t>90,4 % fühlten sich mental fähig, während einer zukünftigen Pandemie zu arbeiten. Die mentale Gesundheit war generell gut (Median MHI-5: 84) und positiv assoziiert mit höherer wahrgenommener Fähigkeit. Das Personal bevorzugte Peer-basierte Unterstützung (Gruppengespräche, moralische Fallberatungen, Partnerschaft mit Kollegen) gegenüber Einzelgesprächen und Stressmanagement-Schulungen.</w:t>
      </w:r>
    </w:p>
    <w:p>
      <w:r>
        <w:rPr>
          <w:b/>
          <w:sz w:val="19"/>
        </w:rPr>
        <w:t xml:space="preserve">Übertragbarkeit: </w:t>
      </w:r>
      <w:r>
        <w:rPr>
          <w:sz w:val="19"/>
        </w:rPr>
        <w:t>Niederlande, vergleichbares Sozialversicherungssystem, hohe Übertragbarkeit für Pflegepersonalentwicklung</w:t>
      </w:r>
    </w:p>
    <w:p>
      <w:r>
        <w:rPr>
          <w:color w:val="5A7D3A"/>
          <w:sz w:val="18"/>
        </w:rPr>
        <w:t>https://pubmed.ncbi.nlm.nih.gov/42617414/</w:t>
      </w:r>
    </w:p>
    <w:p>
      <w:pPr>
        <w:pStyle w:val="Heading2"/>
      </w:pPr>
      <w:r>
        <w:t>Datensouveränität in der Langzeitpflege: Mixed-Methods-Studie zur Reifegradbeurteilung</w:t>
      </w:r>
    </w:p>
    <w:p>
      <w:r>
        <w:rPr>
          <w:i/>
          <w:color w:val="666666"/>
          <w:sz w:val="18"/>
        </w:rPr>
        <w:t>Bouchmal S et al.  ·  J Med Internet Res  ·  19.08.2026  ·  PMID 42617155</w:t>
      </w:r>
    </w:p>
    <w:p>
      <w:r>
        <w:t>Eine niederländische Mixed-Methods-Studie in drei Langzeitpflege-Organisationen untersuchte deren Fähigkeit zur Nutzung von Daten für Entscheidungen und Qualitätsverbesserungen.</w:t>
      </w:r>
    </w:p>
    <w:p>
      <w:r>
        <w:rPr>
          <w:b/>
        </w:rPr>
        <w:t xml:space="preserve">Ergebnis: </w:t>
      </w:r>
      <w:r>
        <w:t>Organisationen wiesen niedrige Datenreife auf. Bereiche Strategie, Governance und Datenqualität waren durchgehend niedrig. Vier Themen wurden identifiziert: fehlende klare Vision (Datenreife niedrig), Datenkultur als Voraussetzung, begrenzte Interdisziplinarität und Infrastruktur- sowie kulturelle Hürden hemmen nachhaltige Nutzung.</w:t>
      </w:r>
    </w:p>
    <w:p>
      <w:r>
        <w:rPr>
          <w:b/>
          <w:sz w:val="19"/>
        </w:rPr>
        <w:t xml:space="preserve">Übertragbarkeit: </w:t>
      </w:r>
      <w:r>
        <w:rPr>
          <w:sz w:val="19"/>
        </w:rPr>
        <w:t>Niederlande, Langzeitpflege-Setting, hohe Übertragbarkeit auf deutsche Altenheime</w:t>
      </w:r>
    </w:p>
    <w:p>
      <w:r>
        <w:rPr>
          <w:color w:val="5A7D3A"/>
          <w:sz w:val="18"/>
        </w:rPr>
        <w:t>https://pubmed.ncbi.nlm.nih.gov/42617155/</w:t>
      </w:r>
    </w:p>
    <w:p>
      <w:pPr>
        <w:pStyle w:val="Heading2"/>
      </w:pPr>
      <w:r>
        <w:t>Kosteneffektivität der Herpes-zoster-Impfung bei rheumatoider Arthritis</w:t>
      </w:r>
    </w:p>
    <w:p>
      <w:r>
        <w:rPr>
          <w:i/>
          <w:color w:val="666666"/>
          <w:sz w:val="18"/>
        </w:rPr>
        <w:t>Hagen G et al.  ·  Rheumatology (Oxford)  ·  19.08.2026  ·  PMID 42616666</w:t>
      </w:r>
    </w:p>
    <w:p>
      <w:r>
        <w:t>Eine norwegische Markov-Modellierungsstudie bewertete die Kosteneffektivität der adjuvantierten rekombinanten Zoster-Impfung (RZV) bei RA-Patienten.</w:t>
      </w:r>
    </w:p>
    <w:p>
      <w:r>
        <w:rPr>
          <w:b/>
        </w:rPr>
        <w:t xml:space="preserve">Ergebnis: </w:t>
      </w:r>
      <w:r>
        <w:t>RZV vermied 2.550 HZ-Fälle und 1.303 PHN-Fälle pro 10.000 RA-Patienten, ICER von 11.205 EUR/QALY (unter Schwellenwert von 23.650 EUR/QALY). Probabilistische Analyse zeigte 98 % Wahrscheinlichkeit der Kosteneffektivität. Sensitivitätsanalysen zeigten Robustheit der Ergebnisse.</w:t>
      </w:r>
    </w:p>
    <w:p>
      <w:r>
        <w:rPr>
          <w:b/>
          <w:sz w:val="19"/>
        </w:rPr>
        <w:t xml:space="preserve">Übertragbarkeit: </w:t>
      </w:r>
      <w:r>
        <w:rPr>
          <w:sz w:val="19"/>
        </w:rPr>
        <w:t>Norwegen, skandinavisches Steuersystem, gut übertragbar für Vakzinations- und Preventiv-Fragen</w:t>
      </w:r>
    </w:p>
    <w:p>
      <w:r>
        <w:rPr>
          <w:color w:val="5A7D3A"/>
          <w:sz w:val="18"/>
        </w:rPr>
        <w:t>https://pubmed.ncbi.nlm.nih.gov/42616666/</w:t>
      </w:r>
    </w:p>
    <w:p>
      <w:pPr>
        <w:pStyle w:val="Heading2"/>
      </w:pPr>
      <w:r>
        <w:t>Förderung von Autonomie in Zwangsbetreuung: Vergleichende Analyse europäischer Gesetze in 27 Ländern</w:t>
      </w:r>
    </w:p>
    <w:p>
      <w:r>
        <w:rPr>
          <w:i/>
          <w:color w:val="666666"/>
          <w:sz w:val="18"/>
        </w:rPr>
        <w:t>Aluh DO et al.  ·  Soc Psychiatry Psychiatr Epidemiol  ·  19.08.2026  ·  PMID 42616064</w:t>
      </w:r>
    </w:p>
    <w:p>
      <w:r>
        <w:t>Vergleichende Analyse von Gesetzen aus 27 europäischen Jurisdiktionen zu Autonomie-fördernden Bestimmungen bei Zwangsbetreuung unter Berücksichtigung der UN-Behindertenrechtskonvention.</w:t>
      </w:r>
    </w:p>
    <w:p>
      <w:r>
        <w:rPr>
          <w:b/>
        </w:rPr>
        <w:t xml:space="preserve">Ergebnis: </w:t>
      </w:r>
      <w:r>
        <w:t>Alle 27 Legislationen beinhalten Maßnahmen zum Legalitätsprinzip, Berufungsrecht und rechtliche Unterstützung; Advance Healthcare Directives und Supported Decision-Making waren seltener verankert; Verfahrensschutzgarantien sind etabliert, aber signifikante Varianz bei anderen Autonomie-fördernden Mechanismen bleibt bestehen.</w:t>
      </w:r>
    </w:p>
    <w:p>
      <w:r>
        <w:rPr>
          <w:b/>
          <w:sz w:val="19"/>
        </w:rPr>
        <w:t xml:space="preserve">Übertragbarkeit: </w:t>
      </w:r>
      <w:r>
        <w:rPr>
          <w:sz w:val="19"/>
        </w:rPr>
        <w:t>Europäische Legislationen inklusive Deutschland, Österreich, Schweiz</w:t>
      </w:r>
    </w:p>
    <w:p>
      <w:r>
        <w:rPr>
          <w:color w:val="5A7D3A"/>
          <w:sz w:val="18"/>
        </w:rPr>
        <w:t>https://pubmed.ncbi.nlm.nih.gov/42616064/</w:t>
      </w:r>
    </w:p>
    <w:p>
      <w:pPr>
        <w:pStyle w:val="Heading2"/>
      </w:pPr>
      <w:r>
        <w:t>Resilienz der Impfversorgung in Äthiopien während COVID-19: Dezentralisierung schützt vor Ausfällen</w:t>
      </w:r>
    </w:p>
    <w:p>
      <w:r>
        <w:rPr>
          <w:i/>
          <w:color w:val="666666"/>
          <w:sz w:val="18"/>
        </w:rPr>
        <w:t>Gedefaw A et al.  ·  BMC Health Serv Res  ·  17.08.2026  ·  PMID 42613610</w:t>
      </w:r>
    </w:p>
    <w:p>
      <w:r>
        <w:t>Eine äthiopische Längsschnittstudie verglich die Impfversorgung über 18 Krankenhäuser, 132 Gesundheitszentren und 532 Gesundheitsposten während und vor der Pandemie.</w:t>
      </w:r>
    </w:p>
    <w:p>
      <w:r>
        <w:rPr>
          <w:b/>
        </w:rPr>
        <w:t xml:space="preserve">Ergebnis: </w:t>
      </w:r>
      <w:r>
        <w:t>Gesamtimpfquote stieg um 9,72 % (p=0,006) in den ersten 6 Monaten. Krankenhäuser fielen um 5,2 % ab (p=0,449), Gesundheitszentren stiegen um 7,96 % (p=0,015) und Posten um 11,5 % (p=0,002). Dezentralisierte Strukturen absorbierten Nachfrage nach Spitalauställen.</w:t>
      </w:r>
    </w:p>
    <w:p>
      <w:r>
        <w:rPr>
          <w:b/>
          <w:sz w:val="19"/>
        </w:rPr>
        <w:t xml:space="preserve">Übertragbarkeit: </w:t>
      </w:r>
      <w:r>
        <w:rPr>
          <w:sz w:val="19"/>
        </w:rPr>
        <w:t>Äthiopien, Low-Income-Setting - begrenzte Übertragbarkeit auf deutsche Strukturen mit anderen Ressourcen</w:t>
      </w:r>
    </w:p>
    <w:p>
      <w:r>
        <w:rPr>
          <w:color w:val="5A7D3A"/>
          <w:sz w:val="18"/>
        </w:rPr>
        <w:t>https://pubmed.ncbi.nlm.nih.gov/42613610/</w:t>
      </w:r>
    </w:p>
    <w:p>
      <w:pPr>
        <w:pStyle w:val="Heading2"/>
      </w:pPr>
      <w:r>
        <w:t>UN-Dekade für gesundes Altern: Perspektiven von älteren Menschen und Fachkräften in Norwegen</w:t>
      </w:r>
    </w:p>
    <w:p>
      <w:r>
        <w:rPr>
          <w:i/>
          <w:color w:val="666666"/>
          <w:sz w:val="18"/>
        </w:rPr>
        <w:t>Bikova M et al.  ·  BMC Health Serv Res  ·  14.08.2026  ·  PMID 42613606</w:t>
      </w:r>
    </w:p>
    <w:p>
      <w:r>
        <w:t>Eine norwegische qualitative Fallstudie mit 23 Interviews (Ältere, Fachkräfte, Entscheidungsträger) untersuchte die Umsetzung der UN-Decade of Healthy Ageing.</w:t>
      </w:r>
    </w:p>
    <w:p>
      <w:r>
        <w:rPr>
          <w:b/>
        </w:rPr>
        <w:t xml:space="preserve">Ergebnis: </w:t>
      </w:r>
      <w:r>
        <w:t>Kernthemen: Strategien zur Selbstbestimmung, ambivalente Alterswahrnehmung, Herausforderungen der Gesundheitsdienste. Digitalisierung als Barriere für inklusive Teilhabe identifiziert. Digitale Inklusion, intergenerationale Ansätze und Bekämpfung von Alterismus empfohlen.</w:t>
      </w:r>
    </w:p>
    <w:p>
      <w:r>
        <w:rPr>
          <w:b/>
          <w:sz w:val="19"/>
        </w:rPr>
        <w:t xml:space="preserve">Übertragbarkeit: </w:t>
      </w:r>
      <w:r>
        <w:rPr>
          <w:sz w:val="19"/>
        </w:rPr>
        <w:t>Norwegen, steuerfinanziertes System, mittel übertragbar für Fragen zur Versorgungsstruktur und Partizipation</w:t>
      </w:r>
    </w:p>
    <w:p>
      <w:r>
        <w:rPr>
          <w:color w:val="5A7D3A"/>
          <w:sz w:val="18"/>
        </w:rPr>
        <w:t>https://pubmed.ncbi.nlm.nih.gov/42613606/</w:t>
      </w:r>
    </w:p>
    <w:p>
      <w:pPr>
        <w:pStyle w:val="Heading1"/>
      </w:pPr>
      <w:r>
        <w:t>Aufgenommen am 19.08.2026</w:t>
      </w:r>
    </w:p>
    <w:p>
      <w:pPr>
        <w:pStyle w:val="Heading2"/>
      </w:pPr>
      <w:r>
        <w:t>Diagnostische Genauigkeit des PHQ-9 in der hausärztlichen Praxis bei Patienten mit Depressionsrisiken</w:t>
      </w:r>
    </w:p>
    <w:p>
      <w:r>
        <w:rPr>
          <w:i/>
          <w:color w:val="666666"/>
          <w:sz w:val="18"/>
        </w:rPr>
        <w:t>Thake M et al.  ·  Gen Hosp Psychiatry  ·  13.08.2026  ·  PMID 42612565</w:t>
      </w:r>
    </w:p>
    <w:p>
      <w:r>
        <w:t>Studie zur diagnostischen Genauigkeit des PHQ-9 für die Erkennung von Major Depression bei Hausarztpatienten mit unterschiedlichen Depressionsrisikofaktoren.</w:t>
      </w:r>
    </w:p>
    <w:p>
      <w:r>
        <w:rPr>
          <w:b/>
        </w:rPr>
        <w:t xml:space="preserve">Ergebnis: </w:t>
      </w:r>
      <w:r>
        <w:t>PHQ-9 zeigte hohe diagnostische Genauigkeit (AUC 0,92–0,97) in Primärversorgung. Optimal-Cutoffs variierten je nach Risikofaktoren (7–13 Punkte). Sensitivität 0,78–0,99; Spezifität 0,80–0,91; NPW 0,80–0,99. Ergebnisse unterstützen risikoadaptiertes Screening mittels PHQ-9 in der Hausarztpraxis.</w:t>
      </w:r>
    </w:p>
    <w:p>
      <w:r>
        <w:rPr>
          <w:b/>
          <w:sz w:val="19"/>
        </w:rPr>
        <w:t xml:space="preserve">Übertragbarkeit: </w:t>
      </w:r>
      <w:r>
        <w:rPr>
          <w:sz w:val="19"/>
        </w:rPr>
        <w:t>Deutsche Routinedaten aus Primärversorgung, gesetzlich Versicherte</w:t>
      </w:r>
    </w:p>
    <w:p>
      <w:r>
        <w:rPr>
          <w:color w:val="5A7D3A"/>
          <w:sz w:val="18"/>
        </w:rPr>
        <w:t>https://pubmed.ncbi.nlm.nih.gov/42612565/</w:t>
      </w:r>
    </w:p>
    <w:p>
      <w:pPr>
        <w:pStyle w:val="Heading2"/>
      </w:pPr>
      <w:r>
        <w:t>PROMIS GH-10 als Patient-Reported Outcome Maß in Rehabilitationskliniken: Mixed-Methods-Studie zur Implementierungseignung</w:t>
      </w:r>
    </w:p>
    <w:p>
      <w:r>
        <w:rPr>
          <w:i/>
          <w:color w:val="666666"/>
          <w:sz w:val="18"/>
        </w:rPr>
        <w:t>Utsch M et al.  ·  BMC Health Serv Res  ·  12.08.2026  ·  PMID 42608694</w:t>
      </w:r>
    </w:p>
    <w:p>
      <w:r>
        <w:t>Erprobung des PROMIS GH-10 zur Messung patientenberichteter Gesundheitsergebnisse in stationärer Schweizer Rehabilitation mit Fokus auf Responsivität und praktische Umsetzbarkeit.</w:t>
      </w:r>
    </w:p>
    <w:p>
      <w:r>
        <w:rPr>
          <w:b/>
        </w:rPr>
        <w:t xml:space="preserve">Ergebnis: </w:t>
      </w:r>
      <w:r>
        <w:t>2.083 Patienten, 1.217 vollständige Messungen. Signifikante Verbesserungen: Physische Gesundheit d=0,68 (p&lt;0,001); Psychische Gesundheit d=0,48 (p&lt;0,001). Effektstärken je Setting 0,50–0,95 bzw. 0,33–1,19. 41% der Patienten brauchten Unterstützung. Barrieren: Unsicherheit über Nutzen, fehlende Ressourcen. PROMIS GH-10 zeigte adäquate Responsivität.</w:t>
      </w:r>
    </w:p>
    <w:p>
      <w:r>
        <w:rPr>
          <w:b/>
          <w:sz w:val="19"/>
        </w:rPr>
        <w:t xml:space="preserve">Übertragbarkeit: </w:t>
      </w:r>
      <w:r>
        <w:rPr>
          <w:sz w:val="19"/>
        </w:rPr>
        <w:t>Schweiz, Sozialversicherungssystem, direkt auf deutsches System übertragbar</w:t>
      </w:r>
    </w:p>
    <w:p>
      <w:r>
        <w:rPr>
          <w:color w:val="5A7D3A"/>
          <w:sz w:val="18"/>
        </w:rPr>
        <w:t>https://pubmed.ncbi.nlm.nih.gov/42608694/</w:t>
      </w:r>
    </w:p>
    <w:p>
      <w:pPr>
        <w:pStyle w:val="Heading2"/>
      </w:pPr>
      <w:r>
        <w:t>Kosten-Nutzen-Parameter für Magnet®-Zertifizierung in deutschen Krankenhäusern</w:t>
      </w:r>
    </w:p>
    <w:p>
      <w:r>
        <w:rPr>
          <w:i/>
          <w:color w:val="666666"/>
          <w:sz w:val="18"/>
        </w:rPr>
        <w:t>Gurisch C et al.  ·  BMC Health Serv Res  ·  12.08.2026  ·  PMID 42608687</w:t>
      </w:r>
    </w:p>
    <w:p>
      <w:r>
        <w:t>Analyse relevanter Parameter für eine Kosten-Nutzen-Analyse der Magnet®-Designation (Organisationsintervention zur Verbesserung der Pflegefachkräftearbeitsbedingungen) im deutschen Kontext.</w:t>
      </w:r>
    </w:p>
    <w:p>
      <w:r>
        <w:rPr>
          <w:b/>
        </w:rPr>
        <w:t xml:space="preserve">Ergebnis: </w:t>
      </w:r>
      <w:r>
        <w:t>Potenzielle Kosten: ANCC-Gebühren, Benchmarking, Fortbildungen, Ressourcen und Datenverwaltung. Kostenersparnisse durch: Verbesserung pflegefachkraftsensibler Indikatoren, Personalindikatoren, Krankenhausleistung. Für Deutschland zusätzlich relevant: Kosten der Akademisierung von Pflegekräften und Datenmanagement. Erhebliche Datenlücken bremsen aktuelle Kosten-Nutzen-Analyse.</w:t>
      </w:r>
    </w:p>
    <w:p>
      <w:r>
        <w:rPr>
          <w:b/>
          <w:sz w:val="19"/>
        </w:rPr>
        <w:t xml:space="preserve">Übertragbarkeit: </w:t>
      </w:r>
      <w:r>
        <w:rPr>
          <w:sz w:val="19"/>
        </w:rPr>
        <w:t>Deutschland, deutsches Krankenhaussystem; deutsche Stakeholder-Interviews</w:t>
      </w:r>
    </w:p>
    <w:p>
      <w:r>
        <w:rPr>
          <w:color w:val="5A7D3A"/>
          <w:sz w:val="18"/>
        </w:rPr>
        <w:t>https://pubmed.ncbi.nlm.nih.gov/42608687/</w:t>
      </w:r>
    </w:p>
    <w:p>
      <w:pPr>
        <w:pStyle w:val="Heading2"/>
      </w:pPr>
      <w:r>
        <w:t>Erfahrungen von Nutzern mit Kriseninterventionen und Peer-Support in der Psychiatrie: qualitative Studie</w:t>
      </w:r>
    </w:p>
    <w:p>
      <w:r>
        <w:rPr>
          <w:i/>
          <w:color w:val="666666"/>
          <w:sz w:val="18"/>
        </w:rPr>
        <w:t>Oeltjen LK et al.  ·  BMC Health Serv Res  ·  11.08.2026  ·  PMID 42608682</w:t>
      </w:r>
    </w:p>
    <w:p>
      <w:r>
        <w:t>Qualitative Studie über Erfahrungen von Menschen mit schweren psychischen Erkrankungen während psychiatrischer Kriseninterventionen mit oder ohne Peer-Unterstützung.</w:t>
      </w:r>
    </w:p>
    <w:p>
      <w:r>
        <w:rPr>
          <w:b/>
        </w:rPr>
        <w:t xml:space="preserve">Ergebnis: </w:t>
      </w:r>
      <w:r>
        <w:t>25 Interviews. Als hilfreich erlebt: empathisches Zuhören, ruhige Kommunikation, transparente Erklärungen, Partizipation in Entscheidungen. Als belastend: konfrontative Kommunikation, unzureichende Information. Peer-Support: überwiegend positiv wahrgenommen wegen Authentizität und Hoffnungsgebung. Erfahrungen mit Polizei ambivalent. Strukturfaktoren (Kontinuität, Warteumgebung) prägten Erlebnis.</w:t>
      </w:r>
    </w:p>
    <w:p>
      <w:r>
        <w:rPr>
          <w:b/>
          <w:sz w:val="19"/>
        </w:rPr>
        <w:t xml:space="preserve">Übertragbarkeit: </w:t>
      </w:r>
      <w:r>
        <w:rPr>
          <w:sz w:val="19"/>
        </w:rPr>
        <w:t>Deutschland (Bremen), deutsches Sektor-Setting der Psychiatrie; qualitativ hochrelevant</w:t>
      </w:r>
    </w:p>
    <w:p>
      <w:r>
        <w:rPr>
          <w:color w:val="5A7D3A"/>
          <w:sz w:val="18"/>
        </w:rPr>
        <w:t>https://pubmed.ncbi.nlm.nih.gov/42608682/</w:t>
      </w:r>
    </w:p>
    <w:p>
      <w:pPr>
        <w:pStyle w:val="Heading2"/>
      </w:pPr>
      <w:r>
        <w:t>Vorhersagefaktoren von Überzeugungen zu Antipsychotika bei Psychosestörungen: longitudinale Beobachtungsstudie</w:t>
      </w:r>
    </w:p>
    <w:p>
      <w:r>
        <w:rPr>
          <w:i/>
          <w:color w:val="666666"/>
          <w:sz w:val="18"/>
        </w:rPr>
        <w:t>Skaare-Fatland K et al.  ·  Patient Prefer Adherence  ·  12.08.2026  ·  PMID 42605315</w:t>
      </w:r>
    </w:p>
    <w:p>
      <w:r>
        <w:t>Longitudinale Studie über Faktoren, die Notwendigkeits- und Besorgnis-Überzeugungen bezüglich antipsychotischer Medikamente bei psychotischen Störungen vorhersagen (12-Monats-Follow-up).</w:t>
      </w:r>
    </w:p>
    <w:p>
      <w:r>
        <w:rPr>
          <w:b/>
        </w:rPr>
        <w:t xml:space="preserve">Ergebnis: </w:t>
      </w:r>
      <w:r>
        <w:t>Baseline (N=310): Höhere Medikations-Unterstützung assoziiert mit höheren Notwendigkeits-Scores (β=0,18; 95% KI 0,04–0,33) und niedriger Besorgnis (β=-0,29; 95% KI -0,42 bis -0,16). Nach 12 Monaten: Notwendigkeits-Scores fielen (β=-0,35; 95% KI -0,60 bis -0,11), Besorgnis stiegen (β=0,25; 95% KI 0,05–0,45). Höhere Symptombelastung und Nebenwirkungen mit höherer Besorgnis assoziiert.</w:t>
      </w:r>
    </w:p>
    <w:p>
      <w:r>
        <w:rPr>
          <w:b/>
          <w:sz w:val="19"/>
        </w:rPr>
        <w:t xml:space="preserve">Übertragbarkeit: </w:t>
      </w:r>
      <w:r>
        <w:rPr>
          <w:sz w:val="19"/>
        </w:rPr>
        <w:t>Skandinavien (Norwegen), steuerfinanziert; Prozesse und Patientenperspektive relevant</w:t>
      </w:r>
    </w:p>
    <w:p>
      <w:r>
        <w:rPr>
          <w:color w:val="5A7D3A"/>
          <w:sz w:val="18"/>
        </w:rPr>
        <w:t>https://pubmed.ncbi.nlm.nih.gov/42605315/</w:t>
      </w:r>
    </w:p>
    <w:p>
      <w:pPr>
        <w:pStyle w:val="Heading1"/>
      </w:pPr>
      <w:r>
        <w:t>Aufgenommen am 18.08.2026</w:t>
      </w:r>
    </w:p>
    <w:p>
      <w:pPr>
        <w:pStyle w:val="Heading2"/>
      </w:pPr>
      <w:r>
        <w:t>Genomische Testung in der Nephrologie: Mainstreaming als effektives Versorgungsmodell</w:t>
      </w:r>
    </w:p>
    <w:p>
      <w:r>
        <w:rPr>
          <w:i/>
          <w:color w:val="666666"/>
          <w:sz w:val="18"/>
        </w:rPr>
        <w:t>Jayasinghe K et al.  ·  Clin J Am Soc Nephrol  ·  17.08.2026  ·  PMID 42606900</w:t>
      </w:r>
    </w:p>
    <w:p>
      <w:r>
        <w:t>Beobachtungsstudie an vier Zentren zur Evaluierung eines "hub and spoke"-Modells für genomische Testung bei Nierenkrankheiten mit Schulung niedergelassener Nephrologen.</w:t>
      </w:r>
    </w:p>
    <w:p>
      <w:r>
        <w:rPr>
          <w:b/>
        </w:rPr>
        <w:t xml:space="preserve">Ergebnis: </w:t>
      </w:r>
      <w:r>
        <w:t>1.028 genomische Tests wurden durchgeführt (diagnostische Ausbeute 34%); ähnlich erfolgreich in Zentren (32%) und bei lokalen Nephrologen (38%). Der Anteil der Tests in Mainstream-Nephrologie-Settings stieg von 23% auf 74%, während die Absolutzahlen in Spezialkliniken stabil blieben.</w:t>
      </w:r>
    </w:p>
    <w:p>
      <w:r>
        <w:rPr>
          <w:b/>
          <w:sz w:val="19"/>
        </w:rPr>
        <w:t xml:space="preserve">Übertragbarkeit: </w:t>
      </w:r>
      <w:r>
        <w:rPr>
          <w:sz w:val="19"/>
        </w:rPr>
        <w:t>Australische Daten, aber Implementierungsrahmen systemunabhängig auf deutsches Versorgungssystem übertragbar</w:t>
      </w:r>
    </w:p>
    <w:p>
      <w:r>
        <w:rPr>
          <w:color w:val="5A7D3A"/>
          <w:sz w:val="18"/>
        </w:rPr>
        <w:t>https://pubmed.ncbi.nlm.nih.gov/42606900/</w:t>
      </w:r>
    </w:p>
    <w:p>
      <w:pPr>
        <w:pStyle w:val="Heading2"/>
      </w:pPr>
      <w:r>
        <w:t>Sicherheit von Antikonvulsiva unter direkten oralen Antikoagulanzien bei Epilepsie</w:t>
      </w:r>
    </w:p>
    <w:p>
      <w:r>
        <w:rPr>
          <w:i/>
          <w:color w:val="666666"/>
          <w:sz w:val="18"/>
        </w:rPr>
        <w:t>Schubert KM et al.  ·  JAMA Neurol  ·  17.08.2026  ·  PMID 42606848</w:t>
      </w:r>
    </w:p>
    <w:p>
      <w:r>
        <w:t>Retrospektive Kohortenstudie mit TriNetX-Daten zu Thromboembolie-, Blutungs- und Mortalitätsrisiken verschiedener Antikonvulsiva bei Epilepsiepatienten unter DOAC-Therapie.</w:t>
      </w:r>
    </w:p>
    <w:p>
      <w:r>
        <w:rPr>
          <w:b/>
        </w:rPr>
        <w:t xml:space="preserve">Ergebnis: </w:t>
      </w:r>
      <w:r>
        <w:t>Levetiracetam war mit erhöhtem thromboembolischem Risiko assoziiert (HR 1,98; 95% CI 1,37–2,87) und höherer Mortalität (HR 1,60; 95% CI 1,23–2,08). Starke Enzym-induzierende ASMs zeigten erhöhtes thromboembolisches Risiko (HR 1,55), aber niedrigere Blutungsrate (HR 0,62).</w:t>
      </w:r>
    </w:p>
    <w:p>
      <w:r>
        <w:rPr>
          <w:b/>
          <w:sz w:val="19"/>
        </w:rPr>
        <w:t xml:space="preserve">Übertragbarkeit: </w:t>
      </w:r>
      <w:r>
        <w:rPr>
          <w:sz w:val="19"/>
        </w:rPr>
        <w:t>Internationale TriNetX-Daten, Arzneisicherheit-Fragestellung systemunabhängig relevant</w:t>
      </w:r>
    </w:p>
    <w:p>
      <w:r>
        <w:rPr>
          <w:color w:val="5A7D3A"/>
          <w:sz w:val="18"/>
        </w:rPr>
        <w:t>https://pubmed.ncbi.nlm.nih.gov/42606848/</w:t>
      </w:r>
    </w:p>
    <w:p>
      <w:pPr>
        <w:pStyle w:val="Heading1"/>
      </w:pPr>
      <w:r>
        <w:t>Aufgenommen am 17.08.2026</w:t>
      </w:r>
    </w:p>
    <w:p>
      <w:pPr>
        <w:pStyle w:val="Heading2"/>
      </w:pPr>
      <w:r>
        <w:t>Expansion von Telehealth-Regelungen in US-Medicaid-Programmen 2018–2023: Legal-Mapping-Studie</w:t>
      </w:r>
    </w:p>
    <w:p>
      <w:r>
        <w:rPr>
          <w:i/>
          <w:color w:val="666666"/>
          <w:sz w:val="18"/>
        </w:rPr>
        <w:t>Leung LB et al.  ·  Milbank Q  ·  16.08.2026  ·  PMID 42604452</w:t>
      </w:r>
    </w:p>
    <w:p>
      <w:r>
        <w:t>50-Staaten-Analyse zur Adoption von Telehealth-Richtlinien in Medicaid-Programmen und deren mögliche Einflussfaktoren.</w:t>
      </w:r>
    </w:p>
    <w:p>
      <w:r>
        <w:rPr>
          <w:b/>
        </w:rPr>
        <w:t xml:space="preserve">Ergebnis: </w:t>
      </w:r>
      <w:r>
        <w:t>Durchschnittlich 2,7 Telehealth-Richtlinien je Bundesstaat (SD 1,4); Audiotelefonie in 43 Staaten eingeführt; schnellste Adoption 2020–2021; Adoption unabhängig von Ländlichkeit, Fachkräftemangel, Medicaid-Expansion oder Internetverfügbarkeit (alle p ≥ 0,07).</w:t>
      </w:r>
    </w:p>
    <w:p>
      <w:r>
        <w:rPr>
          <w:b/>
          <w:sz w:val="19"/>
        </w:rPr>
        <w:t xml:space="preserve">Übertragbarkeit: </w:t>
      </w:r>
      <w:r>
        <w:rPr>
          <w:sz w:val="19"/>
        </w:rPr>
        <w:t>Nur bedingt: US-Medicaid-System, Fragestellung aber systemunabhängig</w:t>
      </w:r>
    </w:p>
    <w:p>
      <w:r>
        <w:rPr>
          <w:color w:val="5A7D3A"/>
          <w:sz w:val="18"/>
        </w:rPr>
        <w:t>https://pubmed.ncbi.nlm.nih.gov/42604452/</w:t>
      </w:r>
    </w:p>
    <w:p>
      <w:pPr>
        <w:pStyle w:val="Heading2"/>
      </w:pPr>
      <w:r>
        <w:t>Reale Effektivität und Sicherheit von Lebrikizumab bei atopischer Dermatitis: TREATgermany-Registerdaten</w:t>
      </w:r>
    </w:p>
    <w:p>
      <w:r>
        <w:rPr>
          <w:i/>
          <w:color w:val="666666"/>
          <w:sz w:val="18"/>
        </w:rPr>
        <w:t>Kind B et al.  ·  Acta Derm Venereol  ·  13.08.2026  ·  PMID 42593155</w:t>
      </w:r>
    </w:p>
    <w:p>
      <w:r>
        <w:t>Prospektive Evaluierung von Lebrikizumab (IL-13-Inhibitor) bei atopischer Dermatitis in deutschen Dermatologie-Praxen mit Effectiveness-Daten zur Routineversorgung.</w:t>
      </w:r>
    </w:p>
    <w:p>
      <w:r>
        <w:rPr>
          <w:b/>
        </w:rPr>
        <w:t xml:space="preserve">Ergebnis: </w:t>
      </w:r>
      <w:r>
        <w:t>80 Patienten mit Follow-up; EASI-Score sank von Baseline 14,8 auf 5,6 (Monat 3) und 3,0 (Monat 6); PP-NRS von 6,6 auf 3,8 und 3,4; DLQI von 11,9 auf 4,9 und 4,8; Nebenwirkungen bei 26,6 % (Konjunktivitis 20,3 %); EASI-75 in Kohorte mit EASI≥16 bei 60 % (M3) und 70 % (M6).</w:t>
      </w:r>
    </w:p>
    <w:p>
      <w:r>
        <w:rPr>
          <w:b/>
          <w:sz w:val="19"/>
        </w:rPr>
        <w:t xml:space="preserve">Übertragbarkeit: </w:t>
      </w:r>
      <w:r>
        <w:rPr>
          <w:sz w:val="19"/>
        </w:rPr>
        <w:t>Deutsche Routinedaten (TREATgermany-Registry)</w:t>
      </w:r>
    </w:p>
    <w:p>
      <w:r>
        <w:rPr>
          <w:color w:val="5A7D3A"/>
          <w:sz w:val="18"/>
        </w:rPr>
        <w:t>https://pubmed.ncbi.nlm.nih.gov/42593155/</w:t>
      </w:r>
    </w:p>
    <w:p>
      <w:pPr>
        <w:pStyle w:val="Heading2"/>
      </w:pPr>
      <w:r>
        <w:t>Mortalität von Hirntumor-Patienten in zertifizierten Onkologiezentren versus Nicht-Zentren: Deutschland</w:t>
      </w:r>
    </w:p>
    <w:p>
      <w:r>
        <w:rPr>
          <w:i/>
          <w:color w:val="666666"/>
          <w:sz w:val="18"/>
        </w:rPr>
        <w:t>Seliger C et al.  ·  Cancer Treat Res Commun  ·  11.08.2026  ·  PMID 42580197</w:t>
      </w:r>
    </w:p>
    <w:p>
      <w:r>
        <w:t>Kohortenstudie mit 62.735 GKV-Patienten und 5.196 Patienten aus klinischen Krebsregistern zu Überleben nach Behandlung in zertifizierten vs. nicht-zertifizierten Krankenhäusern.</w:t>
      </w:r>
    </w:p>
    <w:p>
      <w:r>
        <w:rPr>
          <w:b/>
        </w:rPr>
        <w:t xml:space="preserve">Ergebnis: </w:t>
      </w:r>
      <w:r>
        <w:t>91,9 % der SHI-Patienten nicht in neuro-onkologischen Zentren behandelt; adjustierte Cox-Regression zeigte verbessertes Gesamtüberleben in zertifizierten Zentren (HR SHI 0,93, 95%-KI 0,86–1,00; HR KKR 0,84, 95%-KI 0,76–0,93); ältere Patienten und höhere WHO-Grade profilierten besonders.</w:t>
      </w:r>
    </w:p>
    <w:p>
      <w:r>
        <w:rPr>
          <w:b/>
          <w:sz w:val="19"/>
        </w:rPr>
        <w:t xml:space="preserve">Übertragbarkeit: </w:t>
      </w:r>
      <w:r>
        <w:rPr>
          <w:sz w:val="19"/>
        </w:rPr>
        <w:t>Deutsche Routinedaten, gesetzlich Versicherte + Krebsregister</w:t>
      </w:r>
    </w:p>
    <w:p>
      <w:r>
        <w:rPr>
          <w:color w:val="5A7D3A"/>
          <w:sz w:val="18"/>
        </w:rPr>
        <w:t>https://pubmed.ncbi.nlm.nih.gov/42580197/</w:t>
      </w:r>
    </w:p>
    <w:p>
      <w:pPr>
        <w:pStyle w:val="Heading1"/>
      </w:pPr>
      <w:r>
        <w:t>Aufgenommen am 16.08.2026</w:t>
      </w:r>
    </w:p>
    <w:p>
      <w:pPr>
        <w:pStyle w:val="Heading2"/>
      </w:pPr>
      <w:r>
        <w:t>Arbeitsbedingungen und psychische Gesundheit bei Ärztinnen und Ärzten sowie Pflegekräften in der EU: Querschnittsstudie</w:t>
      </w:r>
    </w:p>
    <w:p>
      <w:r>
        <w:rPr>
          <w:i/>
          <w:color w:val="666666"/>
          <w:sz w:val="18"/>
        </w:rPr>
        <w:t>Mediavilla R et al.  ·  Lancet Reg Health Eur  ·  08.08.2026  ·  PMID 42604020</w:t>
      </w:r>
    </w:p>
    <w:p>
      <w:r>
        <w:t>Die Studie untersuchte Zusammenhänge zwischen Arbeitsbedingungen und psychischer Gesundheit bei 90.171 Gesundheitsberuflern aus 28 EU-Staaten, Island und Norwegen im Zeitraum Oktober 2024 bis April 2025.</w:t>
      </w:r>
    </w:p>
    <w:p>
      <w:r>
        <w:rPr>
          <w:b/>
        </w:rPr>
        <w:t xml:space="preserve">Ergebnis: </w:t>
      </w:r>
      <w:r>
        <w:t>30% zeigten depressive Symptome, 23% Angstsymptome, 13% suizidale Gedanken. Physische Gewalt betraf 10% der Ärzte und 18% der Pflegekräfte. Ungünstige Arbeitsbedingungen korreliertten mit schlechterer psychischer Gesundheit (adjustierte Prävalenzratios 0,98-1,94), während Jobressourcen positive Effekte zeigten (PR 1,06-0,56).</w:t>
      </w:r>
    </w:p>
    <w:p>
      <w:r>
        <w:rPr>
          <w:b/>
          <w:sz w:val="19"/>
        </w:rPr>
        <w:t xml:space="preserve">Übertragbarkeit: </w:t>
      </w:r>
      <w:r>
        <w:rPr>
          <w:sz w:val="19"/>
        </w:rPr>
        <w:t>Europäische Daten, systemisch vergleichbar mit Deutschland</w:t>
      </w:r>
    </w:p>
    <w:p>
      <w:r>
        <w:rPr>
          <w:color w:val="5A7D3A"/>
          <w:sz w:val="18"/>
        </w:rPr>
        <w:t>https://pubmed.ncbi.nlm.nih.gov/42604020/</w:t>
      </w:r>
    </w:p>
    <w:p>
      <w:pPr>
        <w:pStyle w:val="Heading2"/>
      </w:pPr>
      <w:r>
        <w:t>Tage zu Hause nach Herzinsuffizienzspitalisierung in Singapur: Trends und Equity 2011-2019</w:t>
      </w:r>
    </w:p>
    <w:p>
      <w:r>
        <w:rPr>
          <w:i/>
          <w:color w:val="666666"/>
          <w:sz w:val="18"/>
        </w:rPr>
        <w:t>Liu S et al.  ·  Circ Popul Health Outcomes  ·  14.08.2026  ·  PMID 42596879</w:t>
      </w:r>
    </w:p>
    <w:p>
      <w:r>
        <w:t>Die Studie untersuchte zeitliche Trends in Days Alive and Out of Hospital (DAOH) nach erster Hospitalisierung wegen Herzinsuffizienz mit reduzierter Auswurffraktion und prüfte Unterschiede zwischen Altersgruppen, Geschlecht und Ethnizität.</w:t>
      </w:r>
    </w:p>
    <w:p>
      <w:r>
        <w:rPr>
          <w:b/>
        </w:rPr>
        <w:t xml:space="preserve">Ergebnis: </w:t>
      </w:r>
      <w:r>
        <w:t>Von 10.147 Patienten (Medianalter 68,9 Jahre; 31,5% weiblich) verbesserte sich die 1-Jahres-DAOH von 291,7 auf 301,0 Tage (1,16 Tage pro Jahr; p&lt;0,001), während 30-Tage-DAOH stabil blieb (p=0,554). Die Rückgangsraten bei herzinsuffizienzbedingten Readmissionen waren bei Männern steiler als bei Frauen. 1-Jahres-DAOH-Gewinne waren bei Patienten malaiischer Abstammung größer als bei chinesischen Patienten.</w:t>
      </w:r>
    </w:p>
    <w:p>
      <w:r>
        <w:rPr>
          <w:color w:val="5A7D3A"/>
          <w:sz w:val="18"/>
        </w:rPr>
        <w:t>https://pubmed.ncbi.nlm.nih.gov/42596879/</w:t>
      </w:r>
    </w:p>
    <w:p>
      <w:pPr>
        <w:pStyle w:val="Heading2"/>
      </w:pPr>
      <w:r>
        <w:t>Chirurgische Therapie bei Pankreaskarzinom im Alter ≥80 Jahren: Nutzen-Risiko-Analyse</w:t>
      </w:r>
    </w:p>
    <w:p>
      <w:r>
        <w:rPr>
          <w:i/>
          <w:color w:val="666666"/>
          <w:sz w:val="18"/>
        </w:rPr>
        <w:t>von Fritsch L et al.  ·  Cancers (Basel)  ·  28.07.2026  ·  PMID 42588642</w:t>
      </w:r>
    </w:p>
    <w:p>
      <w:r>
        <w:t>Vergleichende Analyse von 3016 Pankreaskarzinom-Patienten (≤65 Jahre: n=944; 66-79 Jahre: n=1535; ≥80 Jahre: n=537) aus deutschen Krebsregistern 2015-2023 bezüglich Behandlungsmuster und Überleben.</w:t>
      </w:r>
    </w:p>
    <w:p>
      <w:r>
        <w:rPr>
          <w:b/>
        </w:rPr>
        <w:t xml:space="preserve">Ergebnis: </w:t>
      </w:r>
      <w:r>
        <w:t>Anteil Patienten ≥80 Jahre stieg von 15% (2015) auf 32% (2023). 24% der operierten Oktogenare erhielten adjuvante Chemotherapie. Overall Survival und disease-free Survival waren schlechter als in jüngeren Kohorten. Oktogenare mit alleiniger Operation oder Chemotherapie hatten vergleichbare Überlebensraten wie palliativ behandelte Patienten.</w:t>
      </w:r>
    </w:p>
    <w:p>
      <w:r>
        <w:rPr>
          <w:b/>
          <w:sz w:val="19"/>
        </w:rPr>
        <w:t xml:space="preserve">Übertragbarkeit: </w:t>
      </w:r>
      <w:r>
        <w:rPr>
          <w:sz w:val="19"/>
        </w:rPr>
        <w:t>Deutsche Krebsregisterdaten, gesetzlich Versicherte</w:t>
      </w:r>
    </w:p>
    <w:p>
      <w:r>
        <w:rPr>
          <w:color w:val="5A7D3A"/>
          <w:sz w:val="18"/>
        </w:rPr>
        <w:t>https://pubmed.ncbi.nlm.nih.gov/42588642/</w:t>
      </w:r>
    </w:p>
    <w:p>
      <w:pPr>
        <w:pStyle w:val="Heading2"/>
      </w:pPr>
      <w:r>
        <w:t>Erlebte integrierte Versorgung für Kinder mit Sonderbedarf in Deutschland: PART-CHILD-Kohortenstudie</w:t>
      </w:r>
    </w:p>
    <w:p>
      <w:r>
        <w:rPr>
          <w:i/>
          <w:color w:val="666666"/>
          <w:sz w:val="18"/>
        </w:rPr>
        <w:t>Bohnert K et al.  ·  BMC Health Serv Res  ·  08.08.2026  ·  PMID 42576220</w:t>
      </w:r>
    </w:p>
    <w:p>
      <w:r>
        <w:t>Querschnittsanalyse von 459 Betreuungspersonen von Kindern mit Sonderbedarf zu ihrer Erfahrung mit integrierten Versorgungsangeboten und Zusammenhänge mit soziodemografischen, gesundheits- und netzwerkbezogenen Faktoren.</w:t>
      </w:r>
    </w:p>
    <w:p>
      <w:r>
        <w:rPr>
          <w:b/>
        </w:rPr>
        <w:t xml:space="preserve">Ergebnis: </w:t>
      </w:r>
      <w:r>
        <w:t>Durchschnittliche Bewertung Teamqualität/Kommunikation 4,1±1,1 (Skala bis 9), Aufmerksamkeit für Familienbelastung 2,3±1,1. Höhere unmet needs assoziiert mit niedrigerer Teamqualität (≥5 unmet needs: β=-0,83; 95%-KI -1,28 bis -0,38). Größere Versorgungsnetzwerke (6-10 Anbieter) positiv mit Familienaufmerksamkeit (β=0,38; 95%-KI 0,07-0,70).</w:t>
      </w:r>
    </w:p>
    <w:p>
      <w:r>
        <w:rPr>
          <w:b/>
          <w:sz w:val="19"/>
        </w:rPr>
        <w:t xml:space="preserve">Übertragbarkeit: </w:t>
      </w:r>
      <w:r>
        <w:rPr>
          <w:sz w:val="19"/>
        </w:rPr>
        <w:t>Deutsche Daten, gesetzlich versicherte Bevölkerung</w:t>
      </w:r>
    </w:p>
    <w:p>
      <w:r>
        <w:rPr>
          <w:color w:val="5A7D3A"/>
          <w:sz w:val="18"/>
        </w:rPr>
        <w:t>https://pubmed.ncbi.nlm.nih.gov/42576220/</w:t>
      </w:r>
    </w:p>
    <w:p>
      <w:pPr>
        <w:pStyle w:val="Heading1"/>
      </w:pPr>
      <w:r>
        <w:t>Aufgenommen am 15.08.2026</w:t>
      </w:r>
    </w:p>
    <w:p>
      <w:pPr>
        <w:pStyle w:val="Heading2"/>
      </w:pPr>
      <w:r>
        <w:t>Elektrische Kardioversion bei Vorhofflimmern: nationale Trends in Dänemark 2010-2022</w:t>
      </w:r>
    </w:p>
    <w:p>
      <w:r>
        <w:rPr>
          <w:i/>
          <w:color w:val="666666"/>
          <w:sz w:val="18"/>
        </w:rPr>
        <w:t>Frost L et al.  ·  Open Heart  ·  14.08.2026  ·  PMID 42601168</w:t>
      </w:r>
    </w:p>
    <w:p>
      <w:r>
        <w:t>Die Studie untersuchte zeitliche Trends in der Nutzung von elektrischer Kardioversion bei Patienten mit Vorhofflimmern in Dänemark über 12 Jahre.</w:t>
      </w:r>
    </w:p>
    <w:p>
      <w:r>
        <w:rPr>
          <w:b/>
        </w:rPr>
        <w:t xml:space="preserve">Ergebnis: </w:t>
      </w:r>
      <w:r>
        <w:t>Die Gesamtzahl der Kardioversionen pro Jahr stieg von 2204 (2010) auf 8300 (2022) um das Vierfache; die altersadjustierte und geschlechterstandardisierte Rate sank jedoch von 449,5 auf 316,6 pro 1000 Personenjahre im ersten Jahr nach Diagnose, was auf eine gezieltere Einsatzweise hindeutet.</w:t>
      </w:r>
    </w:p>
    <w:p>
      <w:r>
        <w:rPr>
          <w:color w:val="5A7D3A"/>
          <w:sz w:val="18"/>
        </w:rPr>
        <w:t>https://pubmed.ncbi.nlm.nih.gov/42601168/</w:t>
      </w:r>
    </w:p>
    <w:p>
      <w:pPr>
        <w:pStyle w:val="Heading2"/>
      </w:pPr>
      <w:r>
        <w:t>Machbarkeit von S-Patch versus 24-Stunden-Holter bei älteren Erwachsenen mit Stürzen: randomisierte Crossover-Pilotstudie</w:t>
      </w:r>
    </w:p>
    <w:p>
      <w:r>
        <w:rPr>
          <w:i/>
          <w:color w:val="666666"/>
          <w:sz w:val="18"/>
        </w:rPr>
        <w:t>Rosario B et al.  ·  JMIR Rehabil Assist Technol  ·  14.08.2026  ·  PMID 42600137</w:t>
      </w:r>
    </w:p>
    <w:p>
      <w:r>
        <w:t>Die Studie verglich Machbarkeit, Verträglichkeit und Adhärenz eines neuen tragbaren EKG-Geräts (S-Patch) mit Standard-Holter-Monitoring bei älteren Patienten mit Sturzrisiko.</w:t>
      </w:r>
    </w:p>
    <w:p>
      <w:r>
        <w:rPr>
          <w:b/>
        </w:rPr>
        <w:t xml:space="preserve">Ergebnis: </w:t>
      </w:r>
      <w:r>
        <w:t>Bei 70 Patienten (45,7% mit kognitiver Beeinträchtigung) zeigte S-Patch längere durchschnittliche Tragedauer (&gt;60 Stunden, signifikant länger wenn zuerst angewendet: 68,8 vs. 62,9 Stunden; p=0,04) mit vergleichbaren Arrhythmie-Erkennungsraten und guter Verträglichkeit auch bei kognitiv beeinträchtigten Patienten.</w:t>
      </w:r>
    </w:p>
    <w:p>
      <w:r>
        <w:rPr>
          <w:color w:val="5A7D3A"/>
          <w:sz w:val="18"/>
        </w:rPr>
        <w:t>https://pubmed.ncbi.nlm.nih.gov/42600137/</w:t>
      </w:r>
    </w:p>
    <w:p>
      <w:pPr>
        <w:pStyle w:val="Heading2"/>
      </w:pPr>
      <w:r>
        <w:t>Entwicklung konsensbasierter Sicherheits- und Qualitäsindikatoren für sicheren Opioid-Einsatz in Krankenhäusern mittels modifizierter Delphi-Methode</w:t>
      </w:r>
    </w:p>
    <w:p>
      <w:r>
        <w:rPr>
          <w:i/>
          <w:color w:val="666666"/>
          <w:sz w:val="18"/>
        </w:rPr>
        <w:t>Mutashar A et al.  ·  Int J Qual Health Care  ·  14.08.2026  ·  PMID 42599219</w:t>
      </w:r>
    </w:p>
    <w:p>
      <w:r>
        <w:t>Die Studie entwickelte einen Katalog von Indikatoren zur Überwachung der Sicherheit und Qualität des Opioid-Einsatzes in australischen Krankenhäusern durch ein multidisziplinäres Expertengremium.</w:t>
      </w:r>
    </w:p>
    <w:p>
      <w:r>
        <w:rPr>
          <w:b/>
        </w:rPr>
        <w:t xml:space="preserve">Ergebnis: </w:t>
      </w:r>
      <w:r>
        <w:t>Von 34 bewerteten Indikatoren erreichten 17 Konsens für Wichtigkeit und Durchführbarkeit (Antwortquoten: Round 1 91%, Treffen 50%, Round 2 77%), was ein praktikables Werkzeug zur Verbesserung der Opioid-Medikamentensicherheit ermöglicht.</w:t>
      </w:r>
    </w:p>
    <w:p>
      <w:r>
        <w:rPr>
          <w:color w:val="5A7D3A"/>
          <w:sz w:val="18"/>
        </w:rPr>
        <w:t>https://pubmed.ncbi.nlm.nih.gov/42599219/</w:t>
      </w:r>
    </w:p>
    <w:p>
      <w:pPr>
        <w:pStyle w:val="Heading2"/>
      </w:pPr>
      <w:r>
        <w:t>Inzidenz, Ätiologien und Überlebensoutcomes von pädiatrischen außerklinischen Herzstillständen in Singapur</w:t>
      </w:r>
    </w:p>
    <w:p>
      <w:r>
        <w:rPr>
          <w:i/>
          <w:color w:val="666666"/>
          <w:sz w:val="18"/>
        </w:rPr>
        <w:t>Chee DS et al.  ·  Resusc Plus  ·  22.07.2026  ·  PMID 42598112</w:t>
      </w:r>
    </w:p>
    <w:p>
      <w:r>
        <w:t>Die Studie beschrieb Inzidenz, Ursachen und Überlebensraten von Herzstillständen bei Kindern in Singapur von 2010-2021 mittels der PAROS-Registry.</w:t>
      </w:r>
    </w:p>
    <w:p>
      <w:r>
        <w:rPr>
          <w:b/>
        </w:rPr>
        <w:t xml:space="preserve">Ergebnis: </w:t>
      </w:r>
      <w:r>
        <w:t>Von 414 Patienten betrug die Gesamtinzidenz 4,62 pro 100.000 Personenjahre (höchste Rate bei Säuglingen &lt;1 Jahr: 33,5 pro 100.000), Bystander-CPR-Rate 64,5%, häufigste Ursachen Atemwegsobstruktion (21%), Ertrinken (20,2%) und Trauma (18,5%); 30-Tage-Überlebensrate 11,1%, gutes neurologisches Ergebnis (CPC 1-2) 8,0% mit Verbesserung 2019-2021 (aOR 4,34; 95% CI 1,09-17,22; p=0,037).</w:t>
      </w:r>
    </w:p>
    <w:p>
      <w:r>
        <w:rPr>
          <w:color w:val="5A7D3A"/>
          <w:sz w:val="18"/>
        </w:rPr>
        <w:t>https://pubmed.ncbi.nlm.nih.gov/42598112/</w:t>
      </w:r>
    </w:p>
    <w:p>
      <w:pPr>
        <w:pStyle w:val="Heading2"/>
      </w:pPr>
      <w:r>
        <w:t>Rolle von Life's Essential 8 in der Assoziation von Nachtschichtarbeit mit kardiovaskulären Erkrankungen: prospektive UK-Biobank-Kohorte</w:t>
      </w:r>
    </w:p>
    <w:p>
      <w:r>
        <w:rPr>
          <w:i/>
          <w:color w:val="666666"/>
          <w:sz w:val="18"/>
        </w:rPr>
        <w:t>Huang Y et al.  ·  J Glob Health  ·  14.08.2026  ·  PMID 42596889</w:t>
      </w:r>
    </w:p>
    <w:p>
      <w:r>
        <w:t>Die Studie untersuchte die Assoziation zwischen Nachtschichtarbeit und kardiovaskulären Erkrankungen sowie die vermittelnde Rolle des Life's Essential 8-Lebensstilscores bei 131.844 Erwerbstätigen.</w:t>
      </w:r>
    </w:p>
    <w:p>
      <w:r>
        <w:rPr>
          <w:b/>
        </w:rPr>
        <w:t xml:space="preserve">Ergebnis: </w:t>
      </w:r>
      <w:r>
        <w:t>Über einen Median-Follow-up von 13,78 Jahren entwickelten 29,7% kardiovaskuläre Erkrankungen und 4,2% starben; Patienten mit permanenten Nachtschichten hatten erhöhtes Risiko für kardiovaskuläre Erkrankungen (HR=1,24; 95% CI 1,18-1,31), Gesamtmortalität (HR=1,23; 95% CI 1,07-1,41) und Myokardinfarkt (HR=1,29; 95% CI 1,09-1,51); Life's Essential 8 vermittelte 39,2% der kardiovaskulären Assoziation und 33,1% der Mortalität.</w:t>
      </w:r>
    </w:p>
    <w:p>
      <w:r>
        <w:rPr>
          <w:color w:val="5A7D3A"/>
          <w:sz w:val="18"/>
        </w:rPr>
        <w:t>https://pubmed.ncbi.nlm.nih.gov/42596889/</w:t>
      </w:r>
    </w:p>
    <w:p>
      <w:pPr>
        <w:pStyle w:val="Heading2"/>
      </w:pPr>
      <w:r>
        <w:t>Implementierung eines umfassenden Sichelzellzentrums führt zu verbessertem Zugang und reduzierter Notfallversorgung</w:t>
      </w:r>
    </w:p>
    <w:p>
      <w:r>
        <w:rPr>
          <w:i/>
          <w:color w:val="666666"/>
          <w:sz w:val="18"/>
        </w:rPr>
        <w:t>Kanter J et al.  ·  BMC Health Serv Res  ·  24.07.2026  ·  PMID 42596005</w:t>
      </w:r>
    </w:p>
    <w:p>
      <w:r>
        <w:t>Die Studie evaluierte die Auswirkungen der Implementierung eines multidisziplinären erwachsenen Sichelzellzentrums auf Ambulanznutzung und Notfallverlagerung in Alabama.</w:t>
      </w:r>
    </w:p>
    <w:p>
      <w:r>
        <w:rPr>
          <w:b/>
        </w:rPr>
        <w:t xml:space="preserve">Ergebnis: </w:t>
      </w:r>
      <w:r>
        <w:t>Die ambulante Klinikpopulation wuchs um mehr als das Dreifache auf 810 Patienten (2024), Infusions-Therapiebesuche stiegen um das Fünfzehnfache; durchschnittliche acute-care-Besuche pro Person/Jahr sanken signifikant von 2,11 auf 1,26 (p&lt;0,001), während routinemäßige ambulante Besuche von 2,65 auf 5,32 stiegen.</w:t>
      </w:r>
    </w:p>
    <w:p>
      <w:r>
        <w:rPr>
          <w:color w:val="5A7D3A"/>
          <w:sz w:val="18"/>
        </w:rPr>
        <w:t>https://pubmed.ncbi.nlm.nih.gov/42596005/</w:t>
      </w:r>
    </w:p>
    <w:p>
      <w:pPr>
        <w:pStyle w:val="Heading1"/>
      </w:pPr>
      <w:r>
        <w:t>Aufgenommen am 14.08.2026</w:t>
      </w:r>
    </w:p>
    <w:p>
      <w:pPr>
        <w:pStyle w:val="Heading2"/>
      </w:pPr>
      <w:r>
        <w:t>Dokumentationslücke bei eingeschränkter Gelenkbeweglichkeit in Pflegeheimen</w:t>
      </w:r>
    </w:p>
    <w:p>
      <w:r>
        <w:rPr>
          <w:i/>
          <w:color w:val="666666"/>
          <w:sz w:val="18"/>
        </w:rPr>
        <w:t>Austen S et al.  ·  J Am Med Dir Assoc  ·  13.08.2026  ·  PMID 42594509</w:t>
      </w:r>
    </w:p>
    <w:p>
      <w:r>
        <w:t>Die Studie untersuchte die Dokumentation von Gelenkbewegungseinschränkungen und schmerzenden Gelenken bei Pflegeheimbewohnern im Vergleich zur standardisierten klinischen Untersuchung.</w:t>
      </w:r>
    </w:p>
    <w:p>
      <w:r>
        <w:rPr>
          <w:b/>
        </w:rPr>
        <w:t xml:space="preserve">Ergebnis: </w:t>
      </w:r>
      <w:r>
        <w:t>Bei 69% der Bewohner wurde eine eingeschränkte Gelenkbeweglichkeit festgestellt, aber nur in 4% der Fälle dokumentiert. Die Hüftbeweglichkeit war in 51% der Fälle limitiert, wurde aber in keinem Fall dokumentiert. Bewohner mit nicht dokumentierten Bewegungseinschränkungen zeigten signifikant höhere funktionelle Abhängigkeit beim Umlagern (p &lt; 0,001).</w:t>
      </w:r>
    </w:p>
    <w:p>
      <w:r>
        <w:rPr>
          <w:color w:val="5A7D3A"/>
          <w:sz w:val="18"/>
        </w:rPr>
        <w:t>https://pubmed.ncbi.nlm.nih.gov/42594509/</w:t>
      </w:r>
    </w:p>
    <w:p>
      <w:pPr>
        <w:pStyle w:val="Heading2"/>
      </w:pPr>
      <w:r>
        <w:t>Emotionale Belastung durch Alarme bei Diabetes-Technologien</w:t>
      </w:r>
    </w:p>
    <w:p>
      <w:r>
        <w:rPr>
          <w:i/>
          <w:color w:val="666666"/>
          <w:sz w:val="18"/>
        </w:rPr>
        <w:t>Everett E et al.  ·  JMIR Diabetes  ·  13.08.2026  ·  PMID 42594259</w:t>
      </w:r>
    </w:p>
    <w:p>
      <w:r>
        <w:t>Die Studie verglich die Alarmhäufigkeit, emotionale Belastung und Verhaltensreaktionen auf Alarme zwischen Nutzern von kontinuierlichen Glukosemessgeräten, sensorunterstützten Pumpen und automatisierten Insulinabgabesystemen.</w:t>
      </w:r>
    </w:p>
    <w:p>
      <w:r>
        <w:rPr>
          <w:b/>
        </w:rPr>
        <w:t xml:space="preserve">Ergebnis: </w:t>
      </w:r>
      <w:r>
        <w:t>Von 838 Befragten berichteten Nutzer von automatisierten Systemen die höchste Alarmfrequenz (49% mehrmals täglich vs. 35% bzw. 32% in anderen Gruppen, p &lt; 0,001). Nach Adjustment zeigte sich ein erhöhtes Risiko für häufige Alarme (OR 1,98, 95% KI 1,48–2,65) und Überkorrektionen bei niedriger Glukose (OR 1,61, 95% KI 1,20–2,15) bei automatisierten Systemen.</w:t>
      </w:r>
    </w:p>
    <w:p>
      <w:r>
        <w:rPr>
          <w:color w:val="5A7D3A"/>
          <w:sz w:val="18"/>
        </w:rPr>
        <w:t>https://pubmed.ncbi.nlm.nih.gov/42594259/</w:t>
      </w:r>
    </w:p>
    <w:p>
      <w:pPr>
        <w:pStyle w:val="Heading2"/>
      </w:pPr>
      <w:r>
        <w:t>Chronic Kidney Disease Care Model zur Verbesserung von Patientenergebnissen</w:t>
      </w:r>
    </w:p>
    <w:p>
      <w:r>
        <w:rPr>
          <w:i/>
          <w:color w:val="666666"/>
          <w:sz w:val="18"/>
        </w:rPr>
        <w:t>Briggs AH et al.  ·  Pharmacoecon Open  ·  13.08.2026  ·  PMID 42593670</w:t>
      </w:r>
    </w:p>
    <w:p>
      <w:r>
        <w:t>Die Studie beschreibt ein Entscheidungsmodell zur Quantifizierung von Managementstrategien bei chronischer Nierenerkrankung und deren Kosteneffektivität in den USA.</w:t>
      </w:r>
    </w:p>
    <w:p>
      <w:r>
        <w:rPr>
          <w:b/>
        </w:rPr>
        <w:t xml:space="preserve">Ergebnis: </w:t>
      </w:r>
      <w:r>
        <w:t>Unter Standardbehandlung werden 15% der Patienten von Ursachen unabhängig von Nierenerkrankung sterben (nach durchschnittlich 12 Jahren). Mit optimierter Behandlung erhöht sich dieser Anteil auf 20% (nach 14 Jahren). Leitliniengerechte Behandlung ohne Verzögerung führt zu 0,68 QALYs Lebenszeitgewinn bei Kosten von 47.800 USD pro Patient.</w:t>
      </w:r>
    </w:p>
    <w:p>
      <w:r>
        <w:rPr>
          <w:color w:val="5A7D3A"/>
          <w:sz w:val="18"/>
        </w:rPr>
        <w:t>https://pubmed.ncbi.nlm.nih.gov/42593670/</w:t>
      </w:r>
    </w:p>
    <w:p>
      <w:pPr>
        <w:pStyle w:val="Heading2"/>
      </w:pPr>
      <w:r>
        <w:t>Algorithmen zur Identifikation klinisch beabsichtigter Medikamentenabsetzungen</w:t>
      </w:r>
    </w:p>
    <w:p>
      <w:r>
        <w:rPr>
          <w:i/>
          <w:color w:val="666666"/>
          <w:sz w:val="18"/>
        </w:rPr>
        <w:t>Goodrich GK et al.  ·  Med Care  ·  13.08.2026  ·  PMID 42593400</w:t>
      </w:r>
    </w:p>
    <w:p>
      <w:r>
        <w:t>Die Studie entwickelte algorithmische Verfahren zur Identifikation absichtlicher Medikamentenabsetzungen mittels Textsuche und klinischen Daten für fünf Arzneimittelgruppen.</w:t>
      </w:r>
    </w:p>
    <w:p>
      <w:r>
        <w:rPr>
          <w:b/>
        </w:rPr>
        <w:t xml:space="preserve">Ergebnis: </w:t>
      </w:r>
      <w:r>
        <w:t>Für die Validierungsstichproben betrugen Sensitivität und Spezifität für den vollständigen Algorithmus: orale Antidiabetika 80% und 85% (n=467), Statine 75% und 95% (n=282), Antihypertensiva 82% und 75% (n=599), Blasen-Antimuscarinergika 77% und 80% (n=80), Antikoagulanzien 74% und 78% (n=160).</w:t>
      </w:r>
    </w:p>
    <w:p>
      <w:r>
        <w:rPr>
          <w:color w:val="5A7D3A"/>
          <w:sz w:val="18"/>
        </w:rPr>
        <w:t>https://pubmed.ncbi.nlm.nih.gov/42593400/</w:t>
      </w:r>
    </w:p>
    <w:p>
      <w:pPr>
        <w:pStyle w:val="Heading2"/>
      </w:pPr>
      <w:r>
        <w:t>Mechanisch beatmete Kinder in pädiatrischen vs. allgemeinen Intensivstationen in Japan</w:t>
      </w:r>
    </w:p>
    <w:p>
      <w:r>
        <w:rPr>
          <w:i/>
          <w:color w:val="666666"/>
          <w:sz w:val="18"/>
        </w:rPr>
        <w:t>Sakurai Y et al.  ·  Front Pediatr  ·  29.07.2026  ·  PMID 42591500</w:t>
      </w:r>
    </w:p>
    <w:p>
      <w:r>
        <w:t>Die Studie verglich klinische Ergebnisse mechanisch beatmeter Kinder in spezialisierten pädiatrischen Intensivstationen (PICU) versus allgemeinen Intensivstationen (GICU).</w:t>
      </w:r>
    </w:p>
    <w:p>
      <w:r>
        <w:rPr>
          <w:b/>
        </w:rPr>
        <w:t xml:space="preserve">Ergebnis: </w:t>
      </w:r>
      <w:r>
        <w:t>Von 48.106 Patienten wurden 36% auf PICUs behandelt. Nach Propensity-Score-Analyse zeigte PICU-Versorgung signifikant niedrigere Krankenhaussterblichkeit (2,73% vs. 3,42%; OR 0,79, 95% KI 0,69–0,91; p = 0,001), aber längere Gesamtaufenthalte (22,74 vs. 22,13 Tage; p &lt; 0,001).</w:t>
      </w:r>
    </w:p>
    <w:p>
      <w:r>
        <w:rPr>
          <w:color w:val="5A7D3A"/>
          <w:sz w:val="18"/>
        </w:rPr>
        <w:t>https://pubmed.ncbi.nlm.nih.gov/42591500/</w:t>
      </w:r>
    </w:p>
    <w:p>
      <w:pPr>
        <w:pStyle w:val="Heading1"/>
      </w:pPr>
      <w:r>
        <w:t>Aufgenommen am 13.08.2026</w:t>
      </w:r>
    </w:p>
    <w:p>
      <w:pPr>
        <w:pStyle w:val="Heading2"/>
      </w:pPr>
      <w:r>
        <w:t>Door-to-Balloon-Zeit, Komplikationen und Verweildauer bei STEMI</w:t>
      </w:r>
    </w:p>
    <w:p>
      <w:r>
        <w:rPr>
          <w:i/>
          <w:color w:val="666666"/>
          <w:sz w:val="18"/>
        </w:rPr>
        <w:t>Eid AbuRuz M et al.  ·  J Clin Med  ·  26.07.2026  ·  PMID 42589943</w:t>
      </w:r>
    </w:p>
    <w:p>
      <w:r>
        <w:t>Diese prospektive Beobachtungsstudie untersuchte, ob die Door-to-Balloon-Zeit (D2B) bei ST-Hebungs-Myokardinfarkt (STEMI) postoperative Komplikationen und Krankenhausverweildauer vorhersagt.</w:t>
      </w:r>
    </w:p>
    <w:p>
      <w:r>
        <w:rPr>
          <w:b/>
        </w:rPr>
        <w:t xml:space="preserve">Ergebnis: </w:t>
      </w:r>
      <w:r>
        <w:t>Eine verzögerte D2B-Zeit (≥2 h) war mit 2,22-fach erhöhtem Komplikationsrisiko assoziiert; jede zusätzliche Stunde Verzögerung führte zu 0,294 Tagen mehr Krankenhausaufenthalt. Ein Median D2B von 108 Minuten wurde beobachtet (IQR 65–395).</w:t>
      </w:r>
    </w:p>
    <w:p>
      <w:r>
        <w:rPr>
          <w:color w:val="5A7D3A"/>
          <w:sz w:val="18"/>
        </w:rPr>
        <w:t>https://pubmed.ncbi.nlm.nih.gov/42589943/</w:t>
      </w:r>
    </w:p>
    <w:p>
      <w:pPr>
        <w:pStyle w:val="Heading2"/>
      </w:pPr>
      <w:r>
        <w:t>Simulation der Effekte von Mindestfallzahl-Schwellenwerten auf die geografische Erreichbarkeit neurochirurgischer Kliniken in Deutschland</w:t>
      </w:r>
    </w:p>
    <w:p>
      <w:r>
        <w:rPr>
          <w:i/>
          <w:color w:val="666666"/>
          <w:sz w:val="18"/>
        </w:rPr>
        <w:t>Mayer S et al.  ·  Healthcare (Basel)  ·  06.08.2026  ·  PMID 42588405</w:t>
      </w:r>
    </w:p>
    <w:p>
      <w:r>
        <w:t>Diese Simulationsstudie untersuchte die Auswirkungen unterschiedlicher Mindestfallzahl-Schwellenwerte auf die geografische Erreichbarkeit neurochirurgischer Versorgung in Deutschland.</w:t>
      </w:r>
    </w:p>
    <w:p>
      <w:r>
        <w:rPr>
          <w:b/>
        </w:rPr>
        <w:t xml:space="preserve">Ergebnis: </w:t>
      </w:r>
      <w:r>
        <w:t>Basale Erreichbarkeit innerhalb 40 Minuten Fahrtzeit (A2N40) betrug 66,6 % der Fläche und 84,7 % der Bevölkerung. Eine Erhöhung um einen Perzentilpunkt der Fallzahl-Schwelle reduzierte A2N40 um durchschnittlich 0,70 Prozentpunkte, was etwa 305.000 zusätzliche Menschen betrifft.</w:t>
      </w:r>
    </w:p>
    <w:p>
      <w:r>
        <w:rPr>
          <w:color w:val="5A7D3A"/>
          <w:sz w:val="18"/>
        </w:rPr>
        <w:t>https://pubmed.ncbi.nlm.nih.gov/42588405/</w:t>
      </w:r>
    </w:p>
    <w:p>
      <w:pPr>
        <w:pStyle w:val="Heading2"/>
      </w:pPr>
      <w:r>
        <w:t>Evaluation eines Stärkenbasierten Resilienz-Programms auf Widerstandskraft, wahrgenommenen Stress und depressive Symptome bei Schülern in Thailand</w:t>
      </w:r>
    </w:p>
    <w:p>
      <w:r>
        <w:rPr>
          <w:i/>
          <w:color w:val="666666"/>
          <w:sz w:val="18"/>
        </w:rPr>
        <w:t>Na Nakorn S et al.  ·  Healthcare (Basel)  ·  01.08.2026  ·  PMID 42588304</w:t>
      </w:r>
    </w:p>
    <w:p>
      <w:r>
        <w:t>Diese quasi-experimentelle Single-Group-Studie evaluierte ein sechswöchiges Resilienz-Programm bei 26 sekundarschul-Schülern mit Messungen zu Baseline, direkt nach Intervention und nach einem Monat.</w:t>
      </w:r>
    </w:p>
    <w:p>
      <w:r>
        <w:rPr>
          <w:b/>
        </w:rPr>
        <w:t xml:space="preserve">Ergebnis: </w:t>
      </w:r>
      <w:r>
        <w:t>Resilienz stieg von M=64,00 (Baseline) auf M=76,46 (direkt post) und M=78,19 (ein Monat später; p&amp;lt;0,001, η²=0,752). Wahrgenommener Stress sank von M=20,62 auf M=13,04 und M=9,62 (p&amp;lt;0,001, η²=0,808). Depressive Symptome sanken von M=7,27 auf M=5,81 und M=4,88 (p&amp;lt;0,001, η²=0,371).</w:t>
      </w:r>
    </w:p>
    <w:p>
      <w:r>
        <w:rPr>
          <w:color w:val="5A7D3A"/>
          <w:sz w:val="18"/>
        </w:rPr>
        <w:t>https://pubmed.ncbi.nlm.nih.gov/42588304/</w:t>
      </w:r>
    </w:p>
    <w:p>
      <w:pPr>
        <w:pStyle w:val="Heading2"/>
      </w:pPr>
      <w:r>
        <w:t>Kürzere Verweildauer nach risikoarmem Kaiserschnitt</w:t>
      </w:r>
    </w:p>
    <w:p>
      <w:r>
        <w:rPr>
          <w:i/>
          <w:color w:val="666666"/>
          <w:sz w:val="18"/>
        </w:rPr>
        <w:t>Su WG et al.  ·  BMJ Open Qual  ·  12.08.2026  ·  PMID 42586586</w:t>
      </w:r>
    </w:p>
    <w:p>
      <w:r>
        <w:t>Qualitätsverbesserungsprojekt zur Entlassung am dritten Tag nach risikoarmem Kaiserschnitt.</w:t>
      </w:r>
    </w:p>
    <w:p>
      <w:r>
        <w:rPr>
          <w:b/>
        </w:rPr>
        <w:t xml:space="preserve">Ergebnis: </w:t>
      </w:r>
      <w:r>
        <w:t>Die Entlassungsrate am dritten Tag stieg von 80,0 % (n = 352) auf 84,5 % (n = 241), nach dem gebündelten Maßnahmenpaket von 83,3 % auf 92,5 %; geschätzte Einsparung 70.884 SGD. Standardisierte Abläufe verkürzen die Liegezeit ohne Qualitätsverlust.</w:t>
      </w:r>
    </w:p>
    <w:p>
      <w:r>
        <w:rPr>
          <w:color w:val="5A7D3A"/>
          <w:sz w:val="18"/>
        </w:rPr>
        <w:t>https://pubmed.ncbi.nlm.nih.gov/42586586/</w:t>
      </w:r>
    </w:p>
    <w:p>
      <w:pPr>
        <w:pStyle w:val="Heading2"/>
      </w:pPr>
      <w:r>
        <w:t>Entwicklung und Validierung des N-DROP-Scores zur Vorhersage der 30-Tage-Sterblichkeit bei Pflegeheim-assoziierten Pneumonien</w:t>
      </w:r>
    </w:p>
    <w:p>
      <w:r>
        <w:rPr>
          <w:i/>
          <w:color w:val="666666"/>
          <w:sz w:val="18"/>
        </w:rPr>
        <w:t>Taniguchi J et al.  ·  J Infect Chemother  ·  12.08.2026  ·  PMID 42586261</w:t>
      </w:r>
    </w:p>
    <w:p>
      <w:r>
        <w:t>Diese Studie entwickelte mittels LASSO-Regression ein verbessertes Modell zur Vorhersage der in-Hospital-Sterblichkeit bei Pflegeheim-assoziierten Pneumonien (NHCAP) basierend auf Faktoren jenseits des klassischen A-DROP-Scores.</w:t>
      </w:r>
    </w:p>
    <w:p>
      <w:r>
        <w:rPr>
          <w:b/>
        </w:rPr>
        <w:t xml:space="preserve">Ergebnis: </w:t>
      </w:r>
      <w:r>
        <w:t>Die 30-Tage-Sterblichkeit in 116.185 Patienten betrug 11,7 %. Der N-DROP-Score zeigte verbesserte Diskriminationsfähigkeit (C-Statistik 0,746; 95 % KI 0,734–0,757) gegenüber A-DROP (0,708; 95 % KI 0,695–0,720; p&amp;lt;0,001).</w:t>
      </w:r>
    </w:p>
    <w:p>
      <w:r>
        <w:rPr>
          <w:color w:val="5A7D3A"/>
          <w:sz w:val="18"/>
        </w:rPr>
        <w:t>https://pubmed.ncbi.nlm.nih.gov/42586261/</w:t>
      </w:r>
    </w:p>
    <w:p>
      <w:pPr>
        <w:pStyle w:val="Heading2"/>
      </w:pPr>
      <w:r>
        <w:t>Wertbasierte Vergütung in der Primärversorgung und Low-Value Care</w:t>
      </w:r>
    </w:p>
    <w:p>
      <w:r>
        <w:rPr>
          <w:i/>
          <w:color w:val="666666"/>
          <w:sz w:val="18"/>
        </w:rPr>
        <w:t>Izguttinov A et al.  ·  Health Serv Res  ·  Aug. 2026  ·  PMID 42584215</w:t>
      </w:r>
    </w:p>
    <w:p>
      <w:r>
        <w:t>Untersuchung, ob die Einführung wertbasierter Vergütung in Hausarztpraxen unnötige Leistungen reduziert.</w:t>
      </w:r>
    </w:p>
    <w:p>
      <w:r>
        <w:rPr>
          <w:b/>
        </w:rPr>
        <w:t xml:space="preserve">Ergebnis: </w:t>
      </w:r>
      <w:r>
        <w:t>Über 33,6 Mio. Versichertenmonate (1,34 Mio. Versicherte, 7.903 Praxen) blieben die Unterschiede ohne statistische Signifikanz: Bildgebung bei Fersensporn 31,2 % gegenüber 28,9 %, bei Kopfschmerz 14,8 % gegenüber 14,5 %, bei Rückenschmerz je 13,8 %. Vergütungsanreize allein senken Low-Value Care offenbar nicht.</w:t>
      </w:r>
    </w:p>
    <w:p>
      <w:r>
        <w:rPr>
          <w:color w:val="5A7D3A"/>
          <w:sz w:val="18"/>
        </w:rPr>
        <w:t>https://pubmed.ncbi.nlm.nih.gov/42584215/</w:t>
      </w:r>
    </w:p>
    <w:p>
      <w:pPr>
        <w:pStyle w:val="Heading2"/>
      </w:pPr>
      <w:r>
        <w:t>Inanspruchnahme und Kosten bei Long COVID (England und Wales)</w:t>
      </w:r>
    </w:p>
    <w:p>
      <w:r>
        <w:rPr>
          <w:i/>
          <w:color w:val="666666"/>
          <w:sz w:val="18"/>
        </w:rPr>
        <w:t>Dashtban A et al.  ·  J R Soc Med  ·  12.08.2026  ·  PMID 42584205</w:t>
      </w:r>
    </w:p>
    <w:p>
      <w:r>
        <w:t>Vergleich von Versorgungskosten und Arztkontakten zwischen Long-COVID-Betroffenen und Kontrollpersonen.</w:t>
      </w:r>
    </w:p>
    <w:p>
      <w:r>
        <w:rPr>
          <w:b/>
        </w:rPr>
        <w:t xml:space="preserve">Ergebnis: </w:t>
      </w:r>
      <w:r>
        <w:t>Die mittleren Jahreskosten lagen in Wales bei 6.681,60 £ gegenüber 2.039,90 £ (3,27-fach), in England bei 3.378,30 £ gegenüber 1.355,80 £ (2,49-fach); Wales verzeichnete einen um 25 % stärkeren relativen Kostenanstieg (Verhältnis 1,25; 95%-KI 1,09–1,42). Die Versorgungslast fällt regional deutlich unterschiedlich aus.</w:t>
      </w:r>
    </w:p>
    <w:p>
      <w:r>
        <w:rPr>
          <w:color w:val="5A7D3A"/>
          <w:sz w:val="18"/>
        </w:rPr>
        <w:t>https://pubmed.ncbi.nlm.nih.gov/42584205/</w:t>
      </w:r>
    </w:p>
    <w:p>
      <w:pPr>
        <w:pStyle w:val="Heading2"/>
      </w:pPr>
      <w:r>
        <w:t>Eigenbesitz an Zusatzleistungen und Testhäufigkeit in Urologiepraxen</w:t>
      </w:r>
    </w:p>
    <w:p>
      <w:r>
        <w:rPr>
          <w:i/>
          <w:color w:val="666666"/>
          <w:sz w:val="18"/>
        </w:rPr>
        <w:t>Srivastava A et al.  ·  Med Care  ·  12.08.2026  ·  PMID 42583905</w:t>
      </w:r>
    </w:p>
    <w:p>
      <w:r>
        <w:t>Analyse, ob unternehmerische Beteiligung von Urologiepraxen an Zusatzleistungen die Zahl angeordneter Tests erhöht.</w:t>
      </w:r>
    </w:p>
    <w:p>
      <w:r>
        <w:rPr>
          <w:b/>
        </w:rPr>
        <w:t xml:space="preserve">Ergebnis: </w:t>
      </w:r>
      <w:r>
        <w:t>20,6 % der Praxen (706 von 3.430) besaßen eigene Zusatzleistungen; pro 10 Punkte auf dem Unternehmerindex stiegen bei 49.285 Männern die Chancen für Urinuntersuchungen auf das 1,13-Fache (95%-KI 1,09–1,18; p &lt; 0,001) und für nicht indikationsbezogene Tests auf das 1,21-Fache (95%-KI 1,15–1,27; p &lt; 0,001). Finanzielle Eigeninteressen schlagen messbar auf die Leistungsmenge durch.</w:t>
      </w:r>
    </w:p>
    <w:p>
      <w:r>
        <w:rPr>
          <w:color w:val="5A7D3A"/>
          <w:sz w:val="18"/>
        </w:rPr>
        <w:t>https://pubmed.ncbi.nlm.nih.gov/42583905/</w:t>
      </w:r>
    </w:p>
    <w:p>
      <w:pPr>
        <w:pStyle w:val="Heading2"/>
      </w:pPr>
      <w:r>
        <w:t>Soziale Bedarfe und Versorgungszugang nach Kostenträger</w:t>
      </w:r>
    </w:p>
    <w:p>
      <w:r>
        <w:rPr>
          <w:i/>
          <w:color w:val="666666"/>
          <w:sz w:val="18"/>
        </w:rPr>
        <w:t>Wang VH et al.  ·  Med Care  ·  10.08.2026  ·  PMID 42583901</w:t>
      </w:r>
    </w:p>
    <w:p>
      <w:r>
        <w:t>Querschnittsanalyse, wie häufig gesundheitsbezogene soziale Bedarfe je nach Versicherungsart auftreten und den Zugang zur Versorgung beeinflussen.</w:t>
      </w:r>
    </w:p>
    <w:p>
      <w:r>
        <w:rPr>
          <w:b/>
        </w:rPr>
        <w:t xml:space="preserve">Ergebnis: </w:t>
      </w:r>
      <w:r>
        <w:t>Unter 126.490 Befragten war Ernährungsunsicherheit bei Medicaid-Versicherten mit 49,20 % weit häufiger als bei privat (11,89 %) oder über Medicare (5,20 %) Versicherten; Wohnungsunsicherheit lag bei 54,61 %, 25,18 % und 14,99 %. Ernährungsunsicherheit ging in allen Gruppen mit häufiger unterlassener Versorgung einher.</w:t>
      </w:r>
    </w:p>
    <w:p>
      <w:r>
        <w:rPr>
          <w:color w:val="5A7D3A"/>
          <w:sz w:val="18"/>
        </w:rPr>
        <w:t>https://pubmed.ncbi.nlm.nih.gov/42583901/</w:t>
      </w:r>
    </w:p>
    <w:p>
      <w:pPr>
        <w:pStyle w:val="Heading2"/>
      </w:pPr>
      <w:r>
        <w:t>Leitlinientreue in der Nachsorge nach akuter Nierenschädigung</w:t>
      </w:r>
    </w:p>
    <w:p>
      <w:r>
        <w:rPr>
          <w:i/>
          <w:color w:val="666666"/>
          <w:sz w:val="18"/>
        </w:rPr>
        <w:t>Mok PLH et al.  ·  BMC Med  ·  12.08.2026  ·  PMID 42581362</w:t>
      </w:r>
    </w:p>
    <w:p>
      <w:r>
        <w:t>Routinedatenanalyse zur Frage, wie konsequent die empfohlene Nachsorge nach akuter Nierenschädigung umgesetzt wird.</w:t>
      </w:r>
    </w:p>
    <w:p>
      <w:r>
        <w:rPr>
          <w:b/>
        </w:rPr>
        <w:t xml:space="preserve">Ergebnis: </w:t>
      </w:r>
      <w:r>
        <w:t>Bei 209.222 Patientinnen und Patienten (279.187 Episoden) wurde die Nierenschädigung nur in 19,5 % kodiert (95%-KI 18,5–20,5); 72,6 % hatten Hausarztkontakt, aber nur 34,2 % eine Kreatininkontrolle nach 90 Tagen und 4,2 % eine Albumin-Kreatinin-Bestimmung. Die empfohlene Nachsorge findet weitgehend nicht statt.</w:t>
      </w:r>
    </w:p>
    <w:p>
      <w:r>
        <w:rPr>
          <w:color w:val="5A7D3A"/>
          <w:sz w:val="18"/>
        </w:rPr>
        <w:t>https://pubmed.ncbi.nlm.nih.gov/42581362/</w:t>
      </w:r>
    </w:p>
    <w:p>
      <w:pPr>
        <w:pStyle w:val="Heading1"/>
      </w:pPr>
      <w:r>
        <w:t>Aufgenommen am 10.08.2026</w:t>
      </w:r>
    </w:p>
    <w:p>
      <w:pPr>
        <w:pStyle w:val="Heading2"/>
      </w:pPr>
      <w:r>
        <w:t>ConcePTION-Algorithmus: Schwangerschaften in Routinedaten erkennen</w:t>
      </w:r>
    </w:p>
    <w:p>
      <w:r>
        <w:rPr>
          <w:i/>
          <w:color w:val="666666"/>
          <w:sz w:val="18"/>
        </w:rPr>
        <w:t>Limoncella G et al.  ·  Pharmacoepidemiol Drug Saf  ·  Aug. 2026  ·  PMID 42571911</w:t>
      </w:r>
    </w:p>
    <w:p>
      <w:r>
        <w:t>Entwicklung und Anwendung eines Algorithmus, der Schwangerschaften in bevölkerungsbezogenen Gesundheitsdatenbanken identifiziert.</w:t>
      </w:r>
    </w:p>
    <w:p>
      <w:r>
        <w:rPr>
          <w:b/>
        </w:rPr>
        <w:t xml:space="preserve">Ergebnis: </w:t>
      </w:r>
      <w:r>
        <w:t>Über 10 europäische Datenbanken wurden rund 2,7 Mio. Schwangerschaften erkannt; 50–83 % endeten in Lebendgeburten, 4–10 % in Fehlgeburten. Das Gestationsalter war für 6–89 % der Datensätze schätzbar (RMSE 17–50 Tage). Das verbessert die Nutzung von Routinedaten für die Arzneimittelsicherheit in der Schwangerschaft.</w:t>
      </w:r>
    </w:p>
    <w:p>
      <w:r>
        <w:rPr>
          <w:color w:val="5A7D3A"/>
          <w:sz w:val="18"/>
        </w:rPr>
        <w:t>https://pubmed.ncbi.nlm.nih.gov/42571911/</w:t>
      </w:r>
    </w:p>
    <w:p>
      <w:pPr>
        <w:pStyle w:val="Heading2"/>
      </w:pPr>
      <w:r>
        <w:t>Wartezeit von Diagnose bis Operation beim Zervixkarzinom</w:t>
      </w:r>
    </w:p>
    <w:p>
      <w:r>
        <w:rPr>
          <w:i/>
          <w:color w:val="666666"/>
          <w:sz w:val="18"/>
        </w:rPr>
        <w:t>Jalink M et al.  ·  Cancer Epidemiol  ·  04.08.2026  ·  PMID 42551070</w:t>
      </w:r>
    </w:p>
    <w:p>
      <w:r>
        <w:t>Kohortenstudie zum Zusammenhang zwischen dem Intervall Diagnose–Operation und dem Gesamtüberleben.</w:t>
      </w:r>
    </w:p>
    <w:p>
      <w:r>
        <w:rPr>
          <w:b/>
        </w:rPr>
        <w:t xml:space="preserve">Ergebnis: </w:t>
      </w:r>
      <w:r>
        <w:t>Bei 1.501 Patientinnen (mediane Wartezeit 80 Tage) war ein sehr kurzes Intervall (2–6 Wochen) mit erhöhtem Sterberisiko verbunden (HR 2,33; 95%-KI 1,14–4,77) gegenüber 10–14 Wochen; das Muster war U-förmig. Sowohl sehr kurze als auch sehr lange Wartezeiten erscheinen ungünstig.</w:t>
      </w:r>
    </w:p>
    <w:p>
      <w:r>
        <w:rPr>
          <w:color w:val="5A7D3A"/>
          <w:sz w:val="18"/>
        </w:rPr>
        <w:t>https://pubmed.ncbi.nlm.nih.gov/42551070/</w:t>
      </w:r>
    </w:p>
    <w:p>
      <w:pPr>
        <w:pStyle w:val="Heading1"/>
      </w:pPr>
      <w:r>
        <w:t>Aufgenommen am 09.08.2026</w:t>
      </w:r>
    </w:p>
    <w:p>
      <w:pPr>
        <w:pStyle w:val="Heading2"/>
      </w:pPr>
      <w:r>
        <w:t>Aufhörversuche beim Shisha-Rauchen junger Erwachsener in Deutschland</w:t>
      </w:r>
    </w:p>
    <w:p>
      <w:r>
        <w:rPr>
          <w:i/>
          <w:color w:val="666666"/>
          <w:sz w:val="18"/>
        </w:rPr>
        <w:t>Fedler C et al.  ·  Tob Use Insights  ·  07.08.2026  ·  PMID 42571166</w:t>
      </w:r>
    </w:p>
    <w:p>
      <w:r>
        <w:t>Befragung zu Aufhörverhalten und dessen Prädiktoren bei jungen Shisha-Rauchenden in Deutschland.</w:t>
      </w:r>
    </w:p>
    <w:p>
      <w:r>
        <w:rPr>
          <w:b/>
        </w:rPr>
        <w:t xml:space="preserve">Ergebnis: </w:t>
      </w:r>
      <w:r>
        <w:t>Nur 14,6 % (95%-KI 11,9–17,8) hatten je einen Aufhörversuch unternommen; die wahrgenommene Abhängigkeit war der einzige signifikante Prädiktor. Präventions- und Entwöhnungsangebote erreichen die Gruppe bislang kaum.</w:t>
      </w:r>
    </w:p>
    <w:p>
      <w:r>
        <w:rPr>
          <w:color w:val="5A7D3A"/>
          <w:sz w:val="18"/>
        </w:rPr>
        <w:t>https://pubmed.ncbi.nlm.nih.gov/42571166/</w:t>
      </w:r>
    </w:p>
    <w:p>
      <w:pPr>
        <w:pStyle w:val="Heading2"/>
      </w:pPr>
      <w:r>
        <w:t>Determinanten der Teilnahme am Mammographie-Screening (Ankara, Türkei)</w:t>
      </w:r>
    </w:p>
    <w:p>
      <w:r>
        <w:rPr>
          <w:i/>
          <w:color w:val="666666"/>
          <w:sz w:val="18"/>
        </w:rPr>
        <w:t>Topcu FB et al.  ·  BMC Health Serv Res  ·  07.08.2026  ·  PMID 42571012</w:t>
      </w:r>
    </w:p>
    <w:p>
      <w:r>
        <w:t>Querschnittstudie zu Faktoren, die die Inanspruchnahme der Brustkrebs-Früherkennung bei Frauen beeinflussen.</w:t>
      </w:r>
    </w:p>
    <w:p>
      <w:r>
        <w:rPr>
          <w:b/>
        </w:rPr>
        <w:t xml:space="preserve">Ergebnis: </w:t>
      </w:r>
      <w:r>
        <w:t>Frauen, die Screening-Programme kannten, nahmen 8,5-mal häufiger teil; nach früherer anderer Krebsfrüherkennung 5,5-mal häufiger; eine chronische Erkrankung verdoppelte die Chance. Bekanntheit und Aufklärung sind die zentralen Hebel.</w:t>
      </w:r>
    </w:p>
    <w:p>
      <w:r>
        <w:rPr>
          <w:color w:val="5A7D3A"/>
          <w:sz w:val="18"/>
        </w:rPr>
        <w:t>https://pubmed.ncbi.nlm.nih.gov/42571012/</w:t>
      </w:r>
    </w:p>
    <w:p>
      <w:pPr>
        <w:pStyle w:val="Heading2"/>
      </w:pPr>
      <w:r>
        <w:t>Therapieunterbrechende Systemfehler der Heim-Peritonealdialyse (HomeChoice-Cycler)</w:t>
      </w:r>
    </w:p>
    <w:p>
      <w:r>
        <w:rPr>
          <w:i/>
          <w:color w:val="666666"/>
          <w:sz w:val="18"/>
        </w:rPr>
        <w:t>Albert A et al.  ·  BMC Health Serv Res  ·  08.08.2026  ·  PMID 42571003</w:t>
      </w:r>
    </w:p>
    <w:p>
      <w:r>
        <w:t>Analyse technischer Fehler bei der Heimdialyse und ihrer Häufigkeit im Versorgungsalltag.</w:t>
      </w:r>
    </w:p>
    <w:p>
      <w:r>
        <w:rPr>
          <w:b/>
        </w:rPr>
        <w:t xml:space="preserve">Ergebnis: </w:t>
      </w:r>
      <w:r>
        <w:t>49 verschiedene Fehlertypen in 138 Vorfällen; Druckkammer-Fehler machten 21,7 % aus; Fehler traten in unter 0,25 % der Behandlungssitzungen auf. Die Heimtechnik ist überwiegend zuverlässig; einzelne Fehlerquellen sind gezielt adressierbar.</w:t>
      </w:r>
    </w:p>
    <w:p>
      <w:r>
        <w:rPr>
          <w:color w:val="5A7D3A"/>
          <w:sz w:val="18"/>
        </w:rPr>
        <w:t>https://pubmed.ncbi.nlm.nih.gov/42571003/</w:t>
      </w:r>
    </w:p>
    <w:p>
      <w:pPr>
        <w:pStyle w:val="Heading2"/>
      </w:pPr>
      <w:r>
        <w:t>Lebensqualität nach risikoreduzierender Hysterektomie</w:t>
      </w:r>
    </w:p>
    <w:p>
      <w:r>
        <w:rPr>
          <w:i/>
          <w:color w:val="666666"/>
          <w:sz w:val="18"/>
        </w:rPr>
        <w:t>Oxley S et al.  ·  Gynecol Oncol  ·  08.08.2026  ·  PMID 42570385</w:t>
      </w:r>
    </w:p>
    <w:p>
      <w:r>
        <w:t>Untersuchung der gesundheitsbezogenen Lebensqualität (Nutzwerte) nach vorbeugender Gebärmutterentfernung.</w:t>
      </w:r>
    </w:p>
    <w:p>
      <w:r>
        <w:rPr>
          <w:b/>
        </w:rPr>
        <w:t xml:space="preserve">Ergebnis: </w:t>
      </w:r>
      <w:r>
        <w:t>Mittlere Nutzwerte lagen je nach Eingriff und Zeitpunkt zwischen 0,670 und 0,942, mit signifikanten Gruppenunterschieden (p &lt; 0,001). Art und Zeitpunkt des Eingriffs beeinflussen die Lebensqualität deutlich.</w:t>
      </w:r>
    </w:p>
    <w:p>
      <w:r>
        <w:rPr>
          <w:color w:val="5A7D3A"/>
          <w:sz w:val="18"/>
        </w:rPr>
        <w:t>https://pubmed.ncbi.nlm.nih.gov/42570385/</w:t>
      </w:r>
    </w:p>
    <w:p>
      <w:pPr>
        <w:pStyle w:val="Heading2"/>
      </w:pPr>
      <w:r>
        <w:t>Orale Antikoagulation und neu auftretende Demenz bei Vorhofflimmern</w:t>
      </w:r>
    </w:p>
    <w:p>
      <w:r>
        <w:rPr>
          <w:i/>
          <w:color w:val="666666"/>
          <w:sz w:val="18"/>
        </w:rPr>
        <w:t>Belachew EA et al.  ·  Geroscience  ·  08.08.2026  ·  PMID 42570194</w:t>
      </w:r>
    </w:p>
    <w:p>
      <w:r>
        <w:t>Real-World-Kohortenstudie zum Zusammenhang zwischen Art des Gerinnungshemmers und Demenzrisiko.</w:t>
      </w:r>
    </w:p>
    <w:p>
      <w:r>
        <w:rPr>
          <w:b/>
        </w:rPr>
        <w:t xml:space="preserve">Ergebnis: </w:t>
      </w:r>
      <w:r>
        <w:t>DOAK gingen mit geringerem Demenzrisiko einher (HR 0,63; 95%-KI 0,56–0,70), Warfarin mit höherem Risiko (HR 1,31; 95%-KI 1,16–1,49). Die Wirkstoffwahl könnte für die kognitive Langzeitprognose bedeutsam sein.</w:t>
      </w:r>
    </w:p>
    <w:p>
      <w:r>
        <w:rPr>
          <w:color w:val="5A7D3A"/>
          <w:sz w:val="18"/>
        </w:rPr>
        <w:t>https://pubmed.ncbi.nlm.nih.gov/42570194/</w:t>
      </w:r>
    </w:p>
    <w:p>
      <w:pPr>
        <w:pStyle w:val="Heading2"/>
      </w:pPr>
      <w:r>
        <w:t>Adhärenz zu Bewegungsleitlinien bei US-Krebsüberlebenden</w:t>
      </w:r>
    </w:p>
    <w:p>
      <w:r>
        <w:rPr>
          <w:i/>
          <w:color w:val="666666"/>
          <w:sz w:val="18"/>
        </w:rPr>
        <w:t>Kumar G et al.  ·  J Cancer Surviv  ·  08.08.2026  ·  PMID 42570052</w:t>
      </w:r>
    </w:p>
    <w:p>
      <w:r>
        <w:t>Auswertung landesweiter Surveydaten zur Einhaltung der Empfehlungen für körperliche Aktivität über die Zeit.</w:t>
      </w:r>
    </w:p>
    <w:p>
      <w:r>
        <w:rPr>
          <w:b/>
        </w:rPr>
        <w:t xml:space="preserve">Ergebnis: </w:t>
      </w:r>
      <w:r>
        <w:t>Die Adhärenz stieg von 9,2 % (2010) auf 22,0 % (2015) und fiel bis 2020 wieder auf 8,7 %. Anhaltend niedrige, zuletzt rückläufige Werte weisen auf Versorgungslücken in der Bewegungsförderung hin.</w:t>
      </w:r>
    </w:p>
    <w:p>
      <w:r>
        <w:rPr>
          <w:color w:val="5A7D3A"/>
          <w:sz w:val="18"/>
        </w:rPr>
        <w:t>https://pubmed.ncbi.nlm.nih.gov/42570052/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Studienarchiv - Versorgungsforschung</dc:title>
  <dc:subject/>
  <dc:creator>Monitor Versorgungsforschung</dc:creator>
  <cp:keywords/>
  <dc:description>generated by python-docx</dc:description>
  <cp:lastModifiedBy/>
  <cp:revision>1</cp:revision>
  <dcterms:created xsi:type="dcterms:W3CDTF">2026-11-01T06:00:00Z</dcterms:created>
  <dcterms:modified xsi:type="dcterms:W3CDTF">2026-11-01T06:00:00Z</dcterms:modified>
  <cp:category/>
</cp:coreProperties>
</file>